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8362"/>
        <w:gridCol w:w="2125"/>
        <w:gridCol w:w="141"/>
      </w:tblGrid>
      <w:tr>
        <w:trPr>
          <w:trHeight w:val="256" w:hRule="atLeast"/>
        </w:trPr>
        <w:tc>
          <w:tcPr>
            <w:tcW w:w="8362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62"/>
            </w:tblGrid>
            <w:tr>
              <w:trPr>
                <w:trHeight w:val="256" w:hRule="atLeast"/>
              </w:trPr>
              <w:tc>
                <w:tcPr>
                  <w:tcW w:w="836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>
              <w:trPr>
                <w:trHeight w:val="178" w:hRule="atLeast"/>
              </w:trPr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Datum: 28.11.2025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62"/>
            </w:tblGrid>
            <w:tr>
              <w:trPr>
                <w:trHeight w:val="256" w:hRule="atLeast"/>
              </w:trPr>
              <w:tc>
                <w:tcPr>
                  <w:tcW w:w="836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>
              <w:trPr>
                <w:trHeight w:val="178" w:hRule="atLeast"/>
              </w:trPr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Vrijeme: 10:18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10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318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PLAN PRORAČUNA ZA 2026.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05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OPĆI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12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836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271" w:hRule="atLeast"/>
              </w:trPr>
              <w:tc>
                <w:tcPr>
                  <w:tcW w:w="10488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0488"/>
                  </w:tblGrid>
                  <w:tr>
                    <w:trPr>
                      <w:trHeight w:val="2271" w:hRule="atLeast"/>
                    </w:trPr>
                    <w:tc>
                      <w:tcPr>
                        <w:tcW w:w="10488" w:type="dxa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700"/>
                          <w:gridCol w:w="6661"/>
                          <w:gridCol w:w="2125"/>
                        </w:tblGrid>
                        <w:tr>
                          <w:trPr>
                            <w:trHeight w:val="219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BROJ KONTA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VRSTA PRIHODA / PRIMITAKA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PLANIRANO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SVEUKUPNO PRIHODI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2.311.882,00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6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Prihodi poslovanja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2.291.882,00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63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Pomoći iz inozemstva i od subjekata unutar općeg proračuna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216.271,00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upravnih i administrativnih pristojbi, pristojbi po posebnim propisima i naknada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397.856,00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prodaje proizvoda i robe te pruženih usluga, prihodi od donacija te povrati po protestira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550,00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67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iz nadležnog proračuna i od HZZO-a temeljem ugovornih obveza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1.677.205,00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9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Vlastiti izvori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20.000,00</w:t>
                              </w:r>
                            </w:p>
                          </w:tc>
                        </w:tr>
                        <w:tr>
                          <w:trPr>
                            <w:trHeight w:val="246" w:hRule="atLeast"/>
                          </w:trPr>
                          <w:tc>
                            <w:tcPr>
                              <w:tcW w:w="1700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92</w:t>
                              </w:r>
                            </w:p>
                          </w:tc>
                          <w:tc>
                            <w:tcPr>
                              <w:tcW w:w="6661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Rezultat poslovanja</w:t>
                              </w:r>
                            </w:p>
                          </w:tc>
                          <w:tc>
                            <w:tcPr>
                              <w:tcW w:w="212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20.000,00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12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488"/>
        <w:gridCol w:w="141"/>
      </w:tblGrid>
      <w:tr>
        <w:trPr>
          <w:trHeight w:val="425" w:hRule="atLeast"/>
        </w:trPr>
        <w:tc>
          <w:tcPr>
            <w:tcW w:w="10488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488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00"/>
              <w:gridCol w:w="6661"/>
              <w:gridCol w:w="2125"/>
            </w:tblGrid>
            <w:tr>
              <w:trPr>
                <w:trHeight w:val="205" w:hRule="atLeast"/>
              </w:trPr>
              <w:tc>
                <w:tcPr>
                  <w:tcW w:w="1700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BROJ KONTA</w:t>
                  </w:r>
                </w:p>
              </w:tc>
              <w:tc>
                <w:tcPr>
                  <w:tcW w:w="6661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VRSTA RASHODA / IZDATKA</w:t>
                  </w:r>
                </w:p>
              </w:tc>
              <w:tc>
                <w:tcPr>
                  <w:tcW w:w="212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PLANIRANO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  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SVEUKUPNO RASHODI / IZDACI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2.311.882,00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3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Rashodi poslovanja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2.284.339,00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Rashodi za zaposlene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1.738.641,00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Materijalni rashodi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544.348,00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Financijski rashodi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4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Rashodi za nabavu nefinancijske imovine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27.543,00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70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</w:t>
                  </w:r>
                </w:p>
              </w:tc>
              <w:tc>
                <w:tcPr>
                  <w:tcW w:w="666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Rashodi za nabavu proizvedene dugotrajne imovine</w:t>
                  </w:r>
                </w:p>
              </w:tc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27.543,00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1905" w:h="16837"/>
      <w:pgMar w:top="566" w:right="283" w:bottom="921" w:left="566" w:header="0" w:footer="566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1275"/>
      <w:gridCol w:w="5244"/>
      <w:gridCol w:w="708"/>
      <w:gridCol w:w="1474"/>
      <w:gridCol w:w="85"/>
      <w:gridCol w:w="141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27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708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LC147RP-IP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27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5244"/>
          </w:tblGrid>
          <w:tr>
            <w:trPr>
              <w:trHeight w:val="205" w:hRule="atLeast"/>
            </w:trPr>
            <w:tc>
              <w:tcPr>
                <w:tcW w:w="524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708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7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LCW147_IspisPlanProracuna</dc:title>
</cp:coreProperties>
</file>