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67a41d7ce5747b6"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28942</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Dječji vrtić Radost Novska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1.667.406,81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2.343.669,16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1.606.051,00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2.459.230,66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115.561,50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19.038,51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45.974,20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19.038,51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45.974,20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241,5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161.535,70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2025. godini ostvareni su prihodi poslovanja u visini od 2.343.669,16 eura što je za 40,6% više nego za isto izvještajno razdoblje prethodne godine. Rashodi su u izvještajnom razdoblju ostvareni u iznosu od 2.459.230,66 eura, za 53,10% više nego prethodne godine. Nabavljena je oprema u visino d 45.974,20 eura , što se prikazuje kao manjak prihoda od nefinancijske imovine. Na temelju navedenih podataka iskazan je manjak prihoda i primitaka u iznosu od 161.535,70 eura. Navedeni iznos manjka odnosi se na plaće , doprinose, te naknade za prijevoz na posao, te obračuna naknade članovima upravnog vijeća, obračuni terete trošak 2025. godine (svi obračuni iz prosinca 2025.god.), a isplate su bile u siječnju 2026. godine.</w:t>
      </w:r>
    </w:p>
    <w:p>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1.667.406,81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2.343.669,16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140,6</w:t>
            </w:r>
          </w:p>
        </w:tc>
      </w:tr>
    </w:tbl>
    <w:p>
      <w:pPr>
        <w:spacing w:before="0" w:after="0"/>
      </w:pPr>
    </w:p>
    <w:p>
      <w:r>
        <w:t xml:space="preserve">Za razdoblje od 01.01.2025. god. do 31.12.2025. god. ostvareni su prihodi u visini od 2.343.669,16 eura, za 40,6% veći nego isto izvještajno razdoblje prethodne godine. Povećanje se odnosi na veći broj djece upisane u pedagoškoj godini 2024./2025., te na povećanje prihoda- pomoći , preuzimanjem podučnog objekta vrtića u Jasenovcu.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28.528,13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214.982,52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753,6</w:t>
            </w:r>
          </w:p>
        </w:tc>
      </w:tr>
    </w:tbl>
    <w:p>
      <w:pPr>
        <w:spacing w:before="0" w:after="0"/>
      </w:pPr>
    </w:p>
    <w:p>
      <w:r>
        <w:t xml:space="preserve">Prihodi u iznosu od 214.982,52 eura, u izvještajnom razdbolju značajno su porasli u odnosu na prethodnu godinu, a odnose se na prihode tekućih pomoći od strane HZZ-o za program javni rad posao plus- plaće, što prethodnih godina nismo imali u iznosu od 31.488,84 eura, zatim na prihode pomoći- funkcionalno spajanje u visini od 177.316,18 eura, prihod općine Jasenovac za rad područnog objekta u Jasenovcu (preuzet krajem 2024. godine), te na prihod iz Ministarstva znanosti i obrazovanja  u visini od 6.177,50 eura , uplaćena za rad s djecom s poteškoćama integrirana u redovite programe i za program predškole.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243.885,21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313.218,10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w:t>
            </w:r>
          </w:p>
        </w:tc>
      </w:tr>
    </w:tbl>
    <w:p>
      <w:pPr>
        <w:spacing w:before="0" w:after="0"/>
      </w:pPr>
    </w:p>
    <w:p>
      <w:r>
        <w:t xml:space="preserve">U izvještajnom razdoblju, navedeni prihod ostvaren je u visi od 313.218,10 eura, odnosno za 28,4% više nego u istom izvještajnom razdoblju prethodne godine. Navedeno povećanje prihoda odnosi se na već spomenuto povećanje broja upisane djece iz godine u godinu. Ostvareni prihod odnosi se na;- Prihode od škole engl. jezika- 8.340,66 eura, prihode od zateznih kamata - 53,43 eura, prihodi od participacije roditelja- područni objekt Jasenovac 21.623,98 eura, prihodi od participacije roditelja- 283.200,03 eura.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150,7</w:t>
            </w:r>
          </w:p>
        </w:tc>
      </w:tr>
    </w:tbl>
    <w:p>
      <w:pPr>
        <w:spacing w:before="0" w:after="0"/>
      </w:pPr>
    </w:p>
    <w:p>
      <w:r>
        <w:t xml:space="preserve">Navedeno povećanje od 50,7% u odnosu na prethodnu godinu odnosi se na veći broj uplata donacija od strane raznih poslodavaca (poduzetnika/obrtnika u gradu Novska) za nabavu raznih pomagala i sitnog inventara, potrebnog u radu s djecom u dječjem vrtiću.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1.393.533,47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1.813.268,54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130,1</w:t>
            </w:r>
          </w:p>
        </w:tc>
      </w:tr>
    </w:tbl>
    <w:p>
      <w:pPr>
        <w:spacing w:before="0" w:after="0"/>
      </w:pPr>
    </w:p>
    <w:p>
      <w:r>
        <w:t xml:space="preserve">U izvještajnom razdoblju navedeni prihod ostvaren je u visini od 1.813.268,54 eura, odnosno za 30,1% više nego za isto izvještajno razdbolje prethodne godine. Prihodom su financirani rashodi za plaće 87 zaposlenih, doprinosa na plaće, jubilarne nagrade, naknade za bolovanja dužeg od 90 dana, otpremnine, potpore za novorođenče, regres za godišnji odmor, božićnice, dar djeci do 15 godina i naknade prijevoza na posao i s posla. Također iz navedenog prihoda financiraju se još i naknade članovima Upravnog vijeća te materijal i sirovine- socijalna skrb. Navedeno povećanje odnosi se na povećanje iznos plaća, koje je ugovoreno kolektivnim ugovorom, početkom 2025. godine.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1.606.051,00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2.459.230,66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153,1</w:t>
            </w:r>
          </w:p>
        </w:tc>
      </w:tr>
    </w:tbl>
    <w:p>
      <w:pPr>
        <w:spacing w:before="0" w:after="0"/>
      </w:pPr>
    </w:p>
    <w:p>
      <w:r>
        <w:t xml:space="preserve">U razdoblju od 01.01.2025. godine do 31.12.2025.  ostvareni su rashodi u visini od 2.459.230,66 eura, za 53,10%  više nego isto izvještajno razdoblje prethodne godine. Navedeno povećanje se odnosi na već spomenuto, veći broj zaposlenih i povećanja plaća, koje su rasle kroz 2025. godinu, povećanja materijalnih prava zaposlenika koji su porasli, režijskih troškova te troškova održavanja postrojenja i opreme. Povećan je broj upisane djece , te su samim time i troško porasli, te se nabavljala oprema za otvorenje novog područnog objekta planiranog u ovoj godini.</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1.246.813,15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2.013.648,25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161,5</w:t>
            </w:r>
          </w:p>
        </w:tc>
      </w:tr>
    </w:tbl>
    <w:p>
      <w:pPr>
        <w:spacing w:before="0" w:after="0"/>
      </w:pPr>
    </w:p>
    <w:p>
      <w:r>
        <w:t xml:space="preserve">Za rashode za zaposlene u 2025. godini utrošeno je 2.013.648,25 eura, što je za 61,5% više nego prethodne 2024. godine. Povećanje se odnosi na veći broj zaposlenih, povećanje plaća, većih izdataka za materijalna prava tj. ostale navedene rashode za zaposlene i doprinose za zaposlene.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999.202,46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1.653.568,88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165,5</w:t>
            </w:r>
          </w:p>
        </w:tc>
      </w:tr>
    </w:tbl>
    <w:p>
      <w:pPr>
        <w:spacing w:before="0" w:after="0"/>
      </w:pPr>
    </w:p>
    <w:p>
      <w:r>
        <w:t xml:space="preserve">Za plaće ukupno 87 zaposlenih , na 311 u 2025. godini utrošeno je 1.653.568,88 eura, što je za 65,5% više nego prethodne 2024. godine. Povećanje se odnosi na veći broj zaposlenih, povećanje plaća, zaposleni u programu javni rad- posao plus, te preuzimanjem područnog objekta vrtića u Jasenovcu.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90.781,14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104.822,52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115,5</w:t>
            </w:r>
          </w:p>
        </w:tc>
      </w:tr>
    </w:tbl>
    <w:p>
      <w:pPr>
        <w:spacing w:before="0" w:after="0"/>
      </w:pPr>
    </w:p>
    <w:p>
      <w:r>
        <w:t xml:space="preserve">Za ostale rashode za zaposlene u navedenom razdoblju utrošeno je 104.822,52 eura , odnosno za 15,5% više nego isto izvještajno razdolje prethodne 2024. godine. Navedeni trošak se odnosi na jubilarne nagrade i božićnice Novska i PO Jasenovac 35.515,21 eura, otpremnine 28.356,38 eura , dar djeci do 15 godina 3.350,00 eura, regres za godišnji odmor 24.600,00 eura , ostali rashodi za zaposlene PO Jasenovac 582,64, Naknade za bolovanje duže od 90 dana i potpore u sl. smrti člana uže obitelji 7.109,41 eura te potpore za novorođenče 5.308,88 eura.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156.829,55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255.256,85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162,8</w:t>
            </w:r>
          </w:p>
        </w:tc>
      </w:tr>
    </w:tbl>
    <w:p>
      <w:pPr>
        <w:spacing w:before="0" w:after="0"/>
      </w:pPr>
    </w:p>
    <w:p>
      <w:r>
        <w:t xml:space="preserve">Za doprinose na plaću u izvještajnom razdoblju utrošeno je 255.256,85 odnosno za 62,8% više nego isto izvještajno razdbolje prethodne godine. Navedeno povećanje odnosi se na veće troškove prema obračunu plaća zaposlenima, te na povećani broj zaposlenih u tijeku 2025.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358.914,21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445.146,80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w:t>
            </w:r>
          </w:p>
        </w:tc>
      </w:tr>
    </w:tbl>
    <w:p>
      <w:pPr>
        <w:spacing w:before="0" w:after="0"/>
      </w:pPr>
    </w:p>
    <w:p>
      <w:r>
        <w:t xml:space="preserve">Navedeni rashod ostvaren je u visini od 445.146,80 eura , što je za 24% više nego 2024. godine. Povećanje se odnosi na već spomenuta povećanja režijskih troškova , troškova namirnica , održavanja postrojenja i opreme, te opremanje soba u dječjem vrtiću.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19.038,51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45.974,20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241,5</w:t>
            </w:r>
          </w:p>
        </w:tc>
      </w:tr>
    </w:tbl>
    <w:p>
      <w:pPr>
        <w:spacing w:before="0" w:after="0"/>
      </w:pPr>
    </w:p>
    <w:p>
      <w:r>
        <w:t xml:space="preserve">U 2025. godini navedeni rashodi su ostvareni u visini od 45.974,20 eura. Rashod je značajno posrastao u odnosu na prethodnu 2024. godinu, iz razloga što su se opremale sobe u dječjem vrtiću, nabavljena je nova oprema iz razloga što je stara dotrajala, te je nabavljena i oprema za nove grupe , koje će početi s radom početkom tekuće godine. Nabavljena je uredska oprema u visini od 443,00 eura, Računala i laptop u iznosu od 2.423,00 eura , oprema za dječje sobe, kuhinju i popratne prostorije u iznosu od 43.108,20 eura,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161.535,70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tbl>
      <w:tblPr>
        <w:tblStyle w:val="TableGrid"/>
        <w:tblW w:w="3224.43" w:type="pct"/>
      </w:tblPr>
      <w:tblGrid>
        <w:gridCol w:w="4811"/>
        <w:gridCol w:w="4811"/>
      </w:tblGrid>
      <w:tr>
        <w:trPr>
          <w:trHeight w:val="675" w:hRule="atLeast"/>
        </w:trPr>
        <w:tc>
          <w:tcPr>
            <w:tcW w:w="2500" w:type="pct"/>
            <w:vAlign w:val="center"/>
          </w:tcPr>
          <w:p>
            <w:r>
              <w:t xml:space="preserve">NAZIV IZVORA          PRIHOD</w:t>
            </w:r>
          </w:p>
        </w:tc>
        <w:tc>
          <w:tcPr>
            <w:tcW w:w="2500" w:type="pct"/>
            <w:vAlign w:val="center"/>
          </w:tcPr>
          <w:p>
            <w:r>
              <w:t xml:space="preserve">RASHOD                   REZULTAT POSLOVANJA</w:t>
            </w:r>
          </w:p>
        </w:tc>
      </w:tr>
      <w:tr>
        <w:trPr>
          <w:trHeight w:val="1596" w:hRule="atLeast"/>
        </w:trPr>
        <w:tc>
          <w:tcPr>
            <w:tcW w:w="2500" w:type="pct"/>
            <w:vAlign w:val="center"/>
          </w:tcPr>
          <w:p>
            <w:r>
              <w:t xml:space="preserve">OPĆI PRIHODI I               </w:t>
            </w:r>
          </w:p>
          <w:p>
            <w:r>
              <w:t xml:space="preserve"> PRIMICI                           1.813.268,54</w:t>
            </w:r>
          </w:p>
        </w:tc>
        <w:tc>
          <w:tcPr>
            <w:tcW w:w="2500" w:type="pct"/>
            <w:vAlign w:val="center"/>
          </w:tcPr>
          <w:p>
            <w:r>
              <w:t xml:space="preserve">   </w:t>
            </w:r>
          </w:p>
          <w:p>
            <w:r>
              <w:t xml:space="preserve"> 1.962.907,29                     -149.638,75</w:t>
            </w:r>
          </w:p>
        </w:tc>
      </w:tr>
      <w:tr>
        <w:trPr>
          <w:trHeight w:val="691" w:hRule="atLeast"/>
        </w:trPr>
        <w:tc>
          <w:tcPr>
            <w:tcW w:w="2500" w:type="pct"/>
            <w:vAlign w:val="center"/>
          </w:tcPr>
          <w:p>
            <w:r>
              <w:t xml:space="preserve">VLASTITI PRIHOD                   8.394,09</w:t>
            </w:r>
          </w:p>
        </w:tc>
        <w:tc>
          <w:tcPr>
            <w:tcW w:w="2500" w:type="pct"/>
            <w:vAlign w:val="center"/>
          </w:tcPr>
          <w:p>
            <w:r>
              <w:t xml:space="preserve">       3.499,41                            4.894,68</w:t>
            </w:r>
          </w:p>
        </w:tc>
      </w:tr>
      <w:tr>
        <w:trPr>
          <w:trHeight w:val="1386" w:hRule="atLeast"/>
        </w:trPr>
        <w:tc>
          <w:tcPr>
            <w:tcW w:w="2500" w:type="pct"/>
            <w:vAlign w:val="center"/>
          </w:tcPr>
          <w:p>
            <w:r>
              <w:t xml:space="preserve">višak 2024.god.</w:t>
            </w:r>
          </w:p>
          <w:p>
            <w:r>
              <w:t xml:space="preserve">VIŠAK vrtić-vlastiti                76.576,81</w:t>
            </w:r>
          </w:p>
        </w:tc>
        <w:tc>
          <w:tcPr>
            <w:tcW w:w="2500" w:type="pct"/>
            <w:vAlign w:val="center"/>
          </w:tcPr>
          <w:p>
            <w:r>
              <w:t xml:space="preserve">     42.336,19                           34.240,62</w:t>
            </w:r>
          </w:p>
        </w:tc>
      </w:tr>
      <w:tr>
        <w:trPr>
          <w:trHeight w:val="1596" w:hRule="atLeast"/>
        </w:trPr>
        <w:tc>
          <w:tcPr>
            <w:tcW w:w="2500" w:type="pct"/>
            <w:vAlign w:val="center"/>
          </w:tcPr>
          <w:p>
            <w:r>
              <w:t xml:space="preserve">višak 2024. god.</w:t>
            </w:r>
          </w:p>
          <w:p>
            <w:r>
              <w:t xml:space="preserve">VIŠAK donacije                        1.400,00</w:t>
            </w:r>
          </w:p>
        </w:tc>
        <w:tc>
          <w:tcPr>
            <w:tcW w:w="2500" w:type="pct"/>
            <w:vAlign w:val="center"/>
          </w:tcPr>
          <w:p>
            <w:r>
              <w:t xml:space="preserve">       </w:t>
            </w:r>
          </w:p>
          <w:p>
            <w:r>
              <w:t xml:space="preserve">        1.400,00                                   0</w:t>
            </w:r>
          </w:p>
        </w:tc>
      </w:tr>
      <w:tr>
        <w:trPr>
          <w:trHeight w:val="540" w:hRule="atLeast"/>
        </w:trPr>
        <w:tc>
          <w:tcPr>
            <w:tcW w:w="2500" w:type="pct"/>
            <w:vAlign w:val="center"/>
          </w:tcPr>
          <w:p>
            <w:r>
              <w:t xml:space="preserve">PRIHODI ZA POSEBNE        </w:t>
            </w:r>
          </w:p>
          <w:p>
            <w:r>
              <w:t xml:space="preserve">NAMJENE                          336.312,85</w:t>
            </w:r>
          </w:p>
        </w:tc>
        <w:tc>
          <w:tcPr>
            <w:tcW w:w="2500" w:type="pct"/>
            <w:vAlign w:val="center"/>
          </w:tcPr>
          <w:p>
            <w:r>
              <w:t xml:space="preserve"> </w:t>
            </w:r>
          </w:p>
          <w:p>
            <w:r>
              <w:t xml:space="preserve">   286.969,60                            49.343,25</w:t>
            </w:r>
          </w:p>
        </w:tc>
      </w:tr>
      <w:tr>
        <w:trPr>
          <w:trHeight w:val="540" w:hRule="atLeast"/>
        </w:trPr>
        <w:tc>
          <w:tcPr>
            <w:tcW w:w="2500" w:type="pct"/>
            <w:vAlign w:val="center"/>
          </w:tcPr>
          <w:p>
            <w:r>
              <w:t xml:space="preserve">POMOĆI                                6.177,50</w:t>
            </w:r>
          </w:p>
        </w:tc>
        <w:tc>
          <w:tcPr>
            <w:tcW w:w="2500" w:type="pct"/>
            <w:vAlign w:val="center"/>
          </w:tcPr>
          <w:p>
            <w:r>
              <w:t xml:space="preserve">       3.692,00                               2.485,50</w:t>
            </w:r>
          </w:p>
        </w:tc>
      </w:tr>
      <w:tr>
        <w:trPr>
          <w:trHeight w:val="540" w:hRule="atLeast"/>
        </w:trPr>
        <w:tc>
          <w:tcPr>
            <w:tcW w:w="2500" w:type="pct"/>
            <w:vAlign w:val="center"/>
          </w:tcPr>
          <w:p>
            <w:r>
              <w:t xml:space="preserve">POMOĆI-</w:t>
            </w:r>
          </w:p>
          <w:p>
            <w:r>
              <w:t xml:space="preserve">FUNKCIONALNO SPAJANJE  177.316,18</w:t>
            </w:r>
          </w:p>
        </w:tc>
        <w:tc>
          <w:tcPr>
            <w:tcW w:w="2500" w:type="pct"/>
            <w:vAlign w:val="center"/>
          </w:tcPr>
          <w:p>
            <w:r>
              <w:t xml:space="preserve"> </w:t>
            </w:r>
          </w:p>
          <w:p>
            <w:r>
              <w:t xml:space="preserve">204.053,37                                -26.737,19</w:t>
            </w:r>
          </w:p>
        </w:tc>
      </w:tr>
      <w:tr>
        <w:trPr>
          <w:trHeight w:val="540" w:hRule="atLeast"/>
        </w:trPr>
        <w:tc>
          <w:tcPr>
            <w:tcW w:w="2500" w:type="pct"/>
            <w:vAlign w:val="center"/>
          </w:tcPr>
          <w:p>
            <w:r>
              <w:t xml:space="preserve">DONACIJE                                 2.200,00</w:t>
            </w:r>
          </w:p>
        </w:tc>
        <w:tc>
          <w:tcPr>
            <w:tcW w:w="2500" w:type="pct"/>
            <w:vAlign w:val="center"/>
          </w:tcPr>
          <w:p>
            <w:r>
              <w:t xml:space="preserve">       347,00                                    1.853,00</w:t>
            </w:r>
          </w:p>
        </w:tc>
      </w:tr>
      <w:tr>
        <w:trPr>
          <w:trHeight w:val="540" w:hRule="atLeast"/>
        </w:trPr>
        <w:tc>
          <w:tcPr>
            <w:tcW w:w="2500" w:type="pct"/>
            <w:vAlign w:val="center"/>
          </w:tcPr>
          <w:p>
            <w:r>
              <w:t xml:space="preserve">DONACIJE-višak                        1.400,00</w:t>
            </w:r>
          </w:p>
        </w:tc>
        <w:tc>
          <w:tcPr>
            <w:tcW w:w="2500" w:type="pct"/>
            <w:vAlign w:val="center"/>
          </w:tcPr>
          <w:p>
            <w:r>
              <w:t xml:space="preserve">     1.400,00                                       0</w:t>
            </w:r>
          </w:p>
        </w:tc>
      </w:tr>
      <w:tr>
        <w:trPr>
          <w:trHeight w:val="540" w:hRule="atLeast"/>
        </w:trPr>
        <w:tc>
          <w:tcPr>
            <w:tcW w:w="2500" w:type="pct"/>
            <w:vAlign w:val="center"/>
          </w:tcPr>
          <w:p>
            <w:r>
              <w:t xml:space="preserve">UKUPNO:</w:t>
            </w:r>
          </w:p>
        </w:tc>
        <w:tc>
          <w:tcPr>
            <w:tcW w:w="2500" w:type="pct"/>
            <w:vAlign w:val="center"/>
          </w:tcPr>
          <w:p>
            <w:r>
              <w:t xml:space="preserve"> </w:t>
            </w:r>
          </w:p>
        </w:tc>
      </w:tr>
      <w:tr>
        <w:trPr>
          <w:trHeight w:val="540" w:hRule="atLeast"/>
        </w:trPr>
        <w:tc>
          <w:tcPr>
            <w:tcW w:w="2500" w:type="pct"/>
            <w:vAlign w:val="center"/>
          </w:tcPr>
          <w:p>
            <w:r>
              <w:t xml:space="preserve">  Utvrđeni manjak prihod po izvorima financiranja</w:t>
            </w:r>
          </w:p>
        </w:tc>
        <w:tc>
          <w:tcPr>
            <w:tcW w:w="2500" w:type="pct"/>
            <w:vAlign w:val="center"/>
          </w:tcPr>
          <w:p>
            <w:r>
              <w:t xml:space="preserve">                                      83.558,89 eura</w:t>
            </w:r>
          </w:p>
        </w:tc>
      </w:tr>
    </w:tbl>
    <w:p>
      <w:r>
        <w:t xml:space="preserve"> </w:t>
      </w:r>
    </w:p>
    <w:p>
      <w:r>
        <w:t xml:space="preserve">Ukupno prihodi za 2025. godinu.-  2.343.669,16</w:t>
      </w:r>
    </w:p>
    <w:p>
      <w:r>
        <w:t xml:space="preserve">+   Višak prihoda iz 2024. godine-      77.976,81   </w:t>
      </w:r>
    </w:p>
    <w:p>
      <w:r>
        <w:t xml:space="preserve">-  Ukupni rashodi za 2025. godinu-2.505.204,86</w:t>
      </w:r>
    </w:p>
    <w:p>
      <w:r>
        <w:t xml:space="preserve">        Manjak prihoda za 2025. god.:   83.558,89 eura</w:t>
      </w:r>
    </w:p>
    <w:p/>
    <w:p>
      <w:pPr>
        <w:jc w:val="center"/>
        <w:pStyle w:val="Normal"/>
        <w:spacing w:line="240" w:lineRule="auto"/>
        <w:keepNext/>
      </w:pPr>
      <w:r>
        <w:rPr>
          <w:b/>
          <w:sz w:val="28"/>
          <w:rFonts w:ascii="Times New Roman" w:hAnsi="Times New Roman"/>
        </w:rPr>
        <w:t xml:space="preserve">Bilanca</w:t>
      </w:r>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IMOVINA (šifre B002+1)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2.404.257,26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2.347.131,17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97,6</w:t>
            </w:r>
          </w:p>
        </w:tc>
      </w:tr>
    </w:tbl>
    <w:p>
      <w:pPr>
        <w:spacing w:before="0" w:after="0"/>
      </w:pPr>
    </w:p>
    <w:p>
      <w:r>
        <w:t xml:space="preserve">Na dan 31.12.2025. godine imovina iznosi 2.347.131,17 eura.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Neproizvedena dugotrajna imovina (šifre 011+012-019)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122.651,19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121.748,78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99,3</w:t>
            </w:r>
          </w:p>
        </w:tc>
      </w:tr>
    </w:tbl>
    <w:p>
      <w:pPr>
        <w:spacing w:before="0" w:after="0"/>
      </w:pPr>
    </w:p>
    <w:p>
      <w:r>
        <w:t xml:space="preserve">U odnosu na prethodnu 2024. godinu, smanjenje od 0,7% odnosi se na obračunatu amortizaciju , kao i prethodnih godina.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Ispravak vrijednosti neproizvedene dugotrajne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5.414,45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6.316,86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w:t>
            </w:r>
          </w:p>
        </w:tc>
      </w:tr>
    </w:tbl>
    <w:p>
      <w:pPr>
        <w:spacing w:before="0" w:after="0"/>
      </w:pPr>
    </w:p>
    <w:p>
      <w:r>
        <w:t xml:space="preserve">U izvještajnom razdoblju napravljen je ispravak vrijednosti, te je došlo do povećanja iznosa za 16,7% u odnosu na prethodnu 2024. godinu.</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021 i 02921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Građevinski objekti (šifre 0211 do 0214 - 02921)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021 i 02921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1.734.285,70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1.706.424,99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98,4</w:t>
            </w:r>
          </w:p>
        </w:tc>
      </w:tr>
    </w:tbl>
    <w:p>
      <w:pPr>
        <w:spacing w:before="0" w:after="0"/>
      </w:pPr>
    </w:p>
    <w:p>
      <w:r>
        <w:t xml:space="preserve">Navedena postotna umanjenja  od 1,6% se odnose na obračune ispravka vrijednosti (amortizacije) na imovini.</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 u upotrebi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114.987,86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122.028,22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106,1</w:t>
            </w:r>
          </w:p>
        </w:tc>
      </w:tr>
    </w:tbl>
    <w:p>
      <w:pPr>
        <w:spacing w:before="0" w:after="0"/>
      </w:pPr>
    </w:p>
    <w:p>
      <w:r>
        <w:t xml:space="preserve">U 2025. godini sitni inventar iznosi 122.028,22 eura što je za 6,1% više nego 2024. godine, unatoč isknjiženju i djelomočnom isknjiženju, došlo je do povećanja koje se odnosi na nabavku novog sitnog inventara - nabava didaktičkih pomagala u dječjim sobama.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I VLASTITI IZVORI (šifre 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2.404.257,26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2.347.131,17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97,6</w:t>
            </w:r>
          </w:p>
        </w:tc>
      </w:tr>
    </w:tbl>
    <w:p>
      <w:pPr>
        <w:spacing w:before="0" w:after="0"/>
      </w:pPr>
    </w:p>
    <w:p>
      <w:r>
        <w:t xml:space="preserve">Obveze u obrascu bilance iznose 2.347.131,17 eura, a odnose se na obveze za rashode poslovanja , obveze za zaposlene (plaće zaposlenih, doprinose, naknade za prijevoz na posao i s posla, za prosinac 2025. godine), obveze za materijalne rashode (računi dobavljača ) te obveza za financijske rashode (odnosi se na račune Fine).</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Rezultat - višak/manjak (šifre 9221-9222)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77.976,81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-83.558,89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-107,2</w:t>
            </w:r>
          </w:p>
        </w:tc>
      </w:tr>
    </w:tbl>
    <w:p>
      <w:pPr>
        <w:spacing w:before="0" w:after="0"/>
      </w:pPr>
    </w:p>
    <w:p>
      <w:r>
        <w:t xml:space="preserve">Za izvještajno razdoblje utvrđen je manjak prihoda poslovanja kako slijedi;</w:t>
      </w:r>
    </w:p>
    <w:p>
      <w:r>
        <w:t xml:space="preserve">Ukupno prihodi za 2025. godinu.-  2.343.669,16</w:t>
      </w:r>
      <w:r>
        <w:br/>
      </w:r>
      <w:r>
        <w:t xml:space="preserve">+   Višak prihoda iz 2024. godine-      77.976,81   </w:t>
      </w:r>
      <w:r>
        <w:br/>
      </w:r>
      <w:r>
        <w:t xml:space="preserve">-  Ukupni rashodi za 2025. godinu-2.505.204,86</w:t>
      </w:r>
      <w:r>
        <w:br/>
      </w:r>
      <w:r>
        <w:t xml:space="preserve">        Manjak prihoda za 2025. god.:   83.558,89 eura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(šifre 961 do 963 + 964 do 968)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22.234,04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31.320,22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140,9</w:t>
            </w:r>
          </w:p>
        </w:tc>
      </w:tr>
    </w:tbl>
    <w:p>
      <w:pPr>
        <w:spacing w:before="0" w:after="0"/>
      </w:pPr>
    </w:p>
    <w:p>
      <w:r>
        <w:t xml:space="preserve">Navedeni iznos od 31.320,22 eura odnosi se na ispravak vrijednosti po stopi od 100%, za 2025. godinu.</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ostali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22.168,13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31.254,31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141,0</w:t>
            </w:r>
          </w:p>
        </w:tc>
      </w:tr>
    </w:tbl>
    <w:p>
      <w:pPr>
        <w:spacing w:before="0" w:after="0"/>
      </w:pPr>
    </w:p>
    <w:p>
      <w:r>
        <w:t xml:space="preserve">Navedeni iznos od odnosi se na ispravak vrijednosti po stopi od 100%, za 2025. godinu, te obračunatih kamata za neplaćene račune u roku dospijeća.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 16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prihode poslovanja - dospjela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 16 D</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92.204,25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108.848,55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118,1</w:t>
            </w:r>
          </w:p>
        </w:tc>
      </w:tr>
    </w:tbl>
    <w:p>
      <w:pPr>
        <w:spacing w:before="0" w:after="0"/>
      </w:pPr>
    </w:p>
    <w:p>
      <w:r>
        <w:t xml:space="preserve">Navedeni iznos u 2025. godini ostvaren u postotku većem od 18,1% u odnosu na prethodnu godinu, odnosi se na potraživanja od kamata u iznosu od 65,91 eur, potraživanja po računima za boravak djece 15.947,18 eur, potraživanja od pruženih usluga (iz prethodnog razdoblja) , te potraživanja proračunskih korisnika na 167 u visini od 124.089,77 eura, umanjeno za ispravak vrijednosti potraživanja u visini od 31.304,08 eura.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12911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naknade koje se refundiraju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12911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409,4</w:t>
            </w:r>
          </w:p>
        </w:tc>
      </w:tr>
    </w:tbl>
    <w:p>
      <w:pPr>
        <w:spacing w:before="0" w:after="0"/>
      </w:pPr>
    </w:p>
    <w:p>
      <w:r>
        <w:t xml:space="preserve">Navedeni iznos odnosi se na potraživanja od HZZO-a za refundacije bolovanja na teret zavoda. Iznos je značajno porastao iz razloga što je u 2025. godini značajno poraslo korištenje bolovanja na teret zavoda te dugotrajnih bolovanja zaposlenika.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proračunskih korisnika za sredstva uplaćena u nadležni proračun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100.397,97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124.089,77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123,6</w:t>
            </w:r>
          </w:p>
        </w:tc>
      </w:tr>
    </w:tbl>
    <w:p>
      <w:pPr>
        <w:spacing w:before="0" w:after="0"/>
      </w:pPr>
    </w:p>
    <w:p>
      <w:r>
        <w:t xml:space="preserve">Iznos od 124.089,77 eura ostvaren u 2025. godini odnosi se na potraživanja korisnika za sredstva uplaćena u proračun , za plaćene račune iz izvora prihoda za posebne namjene te vlastitih izvora, te obračune plaća i ostalih materijalnih prava iz izvora pomoći. Ostvareno je više za 23,6 % u odnosu na prethodnu godinu, a povećanju doprinosi i preuzimanje PO Jasenovac.</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27612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proračunskih korisnika za povrat u proračun - bolovanje HZZO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8.194,27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295,7</w:t>
            </w:r>
          </w:p>
        </w:tc>
      </w:tr>
    </w:tbl>
    <w:p>
      <w:pPr>
        <w:spacing w:before="0" w:after="0"/>
      </w:pPr>
    </w:p>
    <w:p>
      <w:r>
        <w:t xml:space="preserve">Navedeni iznos od 8.194,27 odnosi se na bolovanja na teret zdravstvenog zavoda, kojih je bilo znatno više u 2025. godini u odnosu na prethodnu 2024. godinu.</w:t>
      </w:r>
    </w:p>
    <w:p/>
    <w:p>
      <w:pPr>
        <w:jc w:val="center"/>
        <w:pStyle w:val="Normal"/>
        <w:spacing w:line="240" w:lineRule="auto"/>
        <w:keepNext/>
      </w:pPr>
      <w:r>
        <w:rPr>
          <w:b/>
          <w:sz w:val="28"/>
          <w:rFonts w:ascii="Times New Roman" w:hAnsi="Times New Roman"/>
        </w:rPr>
        <w:t xml:space="preserve">Izvještaj o rashodima prema funkcijskoj klasifikaciji</w:t>
      </w:r>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Obrazovanje (šifre 091+092+093+094+095+096+097+098)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1.625.089,51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2.505.204,86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154,2</w:t>
            </w:r>
          </w:p>
        </w:tc>
      </w:tr>
    </w:tbl>
    <w:p>
      <w:pPr>
        <w:spacing w:before="0" w:after="0"/>
      </w:pPr>
    </w:p>
    <w:p>
      <w:r>
        <w:t xml:space="preserve">U tijeku 2025. godine ostvareni su ukupni rashodi u visini od 2.505.204,86 eura. Rashodi su znatno veći za 54,2% u odnosu na isto izvještajno razdoblje prethodne godine iz razloga što su troškovi bili veći, upisan je veći broj djece u novoj pedagoškoj godini, nabavljena je oprema za opremanje soba i novog PO objekta, povećane plaće zaposlenika, te su plaće, doprinosi i ostala materijalna prava zaposlenika za prosinac 2025. godine uračunate u trošak 2025. godine, što je prethodno iskazano na 193.</w:t>
      </w:r>
    </w:p>
    <w:p/>
    <w:p>
      <w:pPr>
        <w:jc w:val="center"/>
        <w:pStyle w:val="Normal"/>
        <w:spacing w:line="240" w:lineRule="auto"/>
        <w:keepNext/>
      </w:pPr>
      <w:r>
        <w:rPr>
          <w:b/>
          <w:sz w:val="28"/>
          <w:rFonts w:ascii="Times New Roman" w:hAnsi="Times New Roman"/>
        </w:rPr>
        <w:t xml:space="preserve">Promjene u vrijednosti i obujmu imovine i obveza</w:t>
      </w:r>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povećanja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smanjenja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Promjene u vrijednosti i obujmu imovine (šifre 91511+91512)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2025. godini došlo je do promjene u vrijednosti obujma imovine, a odnosi se na mobilni uređaj koji je prilikom isknjiženja imao vrijednost.</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219.123,67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Navedeni iznos odnosi se na obveze za zaposlene, to su plaće  za zaposlene , doprinosi i naknade za prijevoz po obračunima za prosinac 2025. god., na obveze za neplaćene račune, bolovanja na teret zdravstvenih zavoda te obveze za isplate naknade za rad predstavničkim i izvršnim tijelima (naknade ČUV koje terete 2025. godinu a nisu isplaćene u navedenoj godini).</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14.789,53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odnosi se na neplaćene račune za namirnice u 2025. godini</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204.334,14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nedospijelih obveza na kraju izvještajnog razdbolja odnosi se na obveze prema zaposlenima 150.165,67, nabave opreme 45.974,20, te bolovanja na teret zdravstvenih zavoda u iznosu od 8.194,27</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612427131804533" /></Relationships>
</file>