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5CFA7E" w14:textId="7604C721" w:rsidR="00837B53" w:rsidRPr="00BC3377" w:rsidRDefault="00837B53" w:rsidP="00837B53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 w:rsidRPr="00BC3377">
        <w:rPr>
          <w:rFonts w:ascii="Times New Roman" w:eastAsia="Times New Roman" w:hAnsi="Times New Roman"/>
          <w:lang w:eastAsia="hr-HR"/>
        </w:rPr>
        <w:t>DJEČJI VRTIĆ  „RADOST“</w:t>
      </w:r>
    </w:p>
    <w:p w14:paraId="7302B53F" w14:textId="275C7CF9" w:rsidR="00837B53" w:rsidRPr="00BC3377" w:rsidRDefault="00837B53" w:rsidP="00837B53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 w:rsidRPr="00BC3377">
        <w:rPr>
          <w:rFonts w:ascii="Times New Roman" w:eastAsia="Times New Roman" w:hAnsi="Times New Roman"/>
          <w:lang w:eastAsia="hr-HR"/>
        </w:rPr>
        <w:t xml:space="preserve">        N O V S K A</w:t>
      </w:r>
    </w:p>
    <w:p w14:paraId="49F02D4B" w14:textId="6EF0EC0B" w:rsidR="00837B53" w:rsidRPr="00BC3377" w:rsidRDefault="00837B53" w:rsidP="00837B53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 w:rsidRPr="00BC3377">
        <w:rPr>
          <w:rFonts w:ascii="Times New Roman" w:eastAsia="Times New Roman" w:hAnsi="Times New Roman"/>
          <w:lang w:eastAsia="hr-HR"/>
        </w:rPr>
        <w:t>KLASA: 400-09-90/15-12</w:t>
      </w:r>
    </w:p>
    <w:p w14:paraId="1E067662" w14:textId="0EDDEE6B" w:rsidR="00837B53" w:rsidRPr="00BC3377" w:rsidRDefault="00837B53" w:rsidP="00837B53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 w:rsidRPr="00BC3377">
        <w:rPr>
          <w:rFonts w:ascii="Times New Roman" w:eastAsia="Times New Roman" w:hAnsi="Times New Roman"/>
          <w:lang w:eastAsia="hr-HR"/>
        </w:rPr>
        <w:t>URBROJ: 2176-68/15-01</w:t>
      </w:r>
    </w:p>
    <w:p w14:paraId="7310460D" w14:textId="056A9A61" w:rsidR="00837B53" w:rsidRPr="00BC3377" w:rsidRDefault="00837B53" w:rsidP="00837B53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 w:rsidRPr="00BC3377">
        <w:rPr>
          <w:rFonts w:ascii="Times New Roman" w:eastAsia="Times New Roman" w:hAnsi="Times New Roman"/>
          <w:lang w:eastAsia="hr-HR"/>
        </w:rPr>
        <w:t>Novska, 17.12.2015.</w:t>
      </w:r>
    </w:p>
    <w:p w14:paraId="78F842CC" w14:textId="77777777" w:rsidR="00837B53" w:rsidRDefault="00837B53" w:rsidP="00837B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7278AF6" w14:textId="6FED7D1A" w:rsidR="00837B53" w:rsidRPr="00B5760A" w:rsidRDefault="00837B53" w:rsidP="00837B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Na temelju</w:t>
      </w:r>
      <w:r w:rsidRPr="00B5760A">
        <w:rPr>
          <w:rFonts w:ascii="Times New Roman" w:eastAsia="Times New Roman" w:hAnsi="Times New Roman"/>
          <w:sz w:val="24"/>
          <w:szCs w:val="24"/>
          <w:lang w:eastAsia="hr-HR"/>
        </w:rPr>
        <w:t xml:space="preserve"> člank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Pr="00B5760A">
        <w:rPr>
          <w:rFonts w:ascii="Times New Roman" w:eastAsia="Times New Roman" w:hAnsi="Times New Roman"/>
          <w:sz w:val="24"/>
          <w:szCs w:val="24"/>
          <w:lang w:eastAsia="hr-HR"/>
        </w:rPr>
        <w:t xml:space="preserve"> 3. Zakon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 o fiskalnoj odgovornosti i (N</w:t>
      </w:r>
      <w:r w:rsidRPr="00B5760A">
        <w:rPr>
          <w:rFonts w:ascii="Times New Roman" w:eastAsia="Times New Roman" w:hAnsi="Times New Roman"/>
          <w:sz w:val="24"/>
          <w:szCs w:val="24"/>
          <w:lang w:eastAsia="hr-HR"/>
        </w:rPr>
        <w:t>N 139/10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, 19/14</w:t>
      </w:r>
      <w:r w:rsidRPr="00B5760A">
        <w:rPr>
          <w:rFonts w:ascii="Times New Roman" w:eastAsia="Times New Roman" w:hAnsi="Times New Roman"/>
          <w:sz w:val="24"/>
          <w:szCs w:val="24"/>
          <w:lang w:eastAsia="hr-HR"/>
        </w:rPr>
        <w:t>), Uredbe o sastavljanju i predaji Izj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ave o fiskalnoj odgovornosti (N</w:t>
      </w:r>
      <w:r w:rsidRPr="00B5760A">
        <w:rPr>
          <w:rFonts w:ascii="Times New Roman" w:eastAsia="Times New Roman" w:hAnsi="Times New Roman"/>
          <w:sz w:val="24"/>
          <w:szCs w:val="24"/>
          <w:lang w:eastAsia="hr-HR"/>
        </w:rPr>
        <w:t>N 78/11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, 106/12, 130/13, 19/15 i 119/15) i članka</w:t>
      </w:r>
      <w:r w:rsidRPr="00B5760A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56. Sta</w:t>
      </w:r>
      <w:r w:rsidRPr="00B5760A">
        <w:rPr>
          <w:rFonts w:ascii="Times New Roman" w:eastAsia="Times New Roman" w:hAnsi="Times New Roman"/>
          <w:sz w:val="24"/>
          <w:szCs w:val="24"/>
          <w:lang w:eastAsia="hr-HR"/>
        </w:rPr>
        <w:t xml:space="preserve">tuta Dječjeg vrtića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„Radost“ Novska, ( u nastavku: Vrtić) ravnateljica Dijana Kadliček </w:t>
      </w:r>
      <w:r w:rsidRPr="00B5760A">
        <w:rPr>
          <w:rFonts w:ascii="Times New Roman" w:eastAsia="Times New Roman" w:hAnsi="Times New Roman"/>
          <w:sz w:val="24"/>
          <w:szCs w:val="24"/>
          <w:lang w:eastAsia="hr-HR"/>
        </w:rPr>
        <w:t xml:space="preserve">dana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17.12.2015. godine </w:t>
      </w:r>
      <w:r w:rsidRPr="00B5760A">
        <w:rPr>
          <w:rFonts w:ascii="Times New Roman" w:eastAsia="Times New Roman" w:hAnsi="Times New Roman"/>
          <w:sz w:val="24"/>
          <w:szCs w:val="24"/>
          <w:lang w:eastAsia="hr-HR"/>
        </w:rPr>
        <w:t xml:space="preserve">donosi </w:t>
      </w:r>
    </w:p>
    <w:p w14:paraId="730AED22" w14:textId="77777777" w:rsidR="00837B53" w:rsidRPr="00B5760A" w:rsidRDefault="00837B53" w:rsidP="00837B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B5760A">
        <w:rPr>
          <w:rFonts w:ascii="Times New Roman" w:eastAsia="Times New Roman" w:hAnsi="Times New Roman"/>
          <w:sz w:val="24"/>
          <w:szCs w:val="24"/>
          <w:lang w:eastAsia="hr-HR"/>
        </w:rPr>
        <w:t> </w:t>
      </w:r>
    </w:p>
    <w:p w14:paraId="05383587" w14:textId="1E71DADF" w:rsidR="00837B53" w:rsidRPr="00B5760A" w:rsidRDefault="00837B53" w:rsidP="00837B5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B5760A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PROCEDURU 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NAPLATE PRIHODA U</w:t>
      </w:r>
    </w:p>
    <w:p w14:paraId="586A3F67" w14:textId="49D3F5C3" w:rsidR="00837B53" w:rsidRPr="00B5760A" w:rsidRDefault="00837B53" w:rsidP="00837B5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B5760A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DJEČJEM VRTIĆU „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RADOST“ NOVSKA</w:t>
      </w:r>
    </w:p>
    <w:p w14:paraId="7F0F3791" w14:textId="77777777" w:rsidR="00837B53" w:rsidRDefault="00837B53" w:rsidP="00837B53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05D3BE20" w14:textId="77777777" w:rsidR="00837B53" w:rsidRDefault="00837B53" w:rsidP="00837B5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1.</w:t>
      </w:r>
    </w:p>
    <w:p w14:paraId="27317C43" w14:textId="4A281080" w:rsidR="00837B53" w:rsidRDefault="00837B53" w:rsidP="00837B5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Ovom procedurom utvrđuje se obveza pojedinih službi Dječjeg vrtića „Radost“ Novska ( u nastavku: Vrtić) te propisuje procedura, odnosno način i rokovi praćenja i naplate prihoda Vrtića.</w:t>
      </w:r>
    </w:p>
    <w:p w14:paraId="3078D761" w14:textId="77777777" w:rsidR="00837B53" w:rsidRDefault="00837B53" w:rsidP="00837B53">
      <w:pPr>
        <w:spacing w:after="0"/>
        <w:rPr>
          <w:rFonts w:ascii="Times New Roman" w:hAnsi="Times New Roman"/>
          <w:sz w:val="24"/>
          <w:szCs w:val="24"/>
        </w:rPr>
      </w:pPr>
    </w:p>
    <w:p w14:paraId="26EB7131" w14:textId="3E8FF2CF" w:rsidR="00837B53" w:rsidRDefault="00837B53" w:rsidP="00837B5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Prihodi koje vrtić naplaćuje su vlastiti prihodi od provođenja posebnih verificiranih programa i zakupa prostora .</w:t>
      </w:r>
    </w:p>
    <w:p w14:paraId="31622D2F" w14:textId="77777777" w:rsidR="00837B53" w:rsidRDefault="00837B53" w:rsidP="00837B53">
      <w:pPr>
        <w:tabs>
          <w:tab w:val="left" w:pos="5124"/>
        </w:tabs>
        <w:spacing w:after="0"/>
        <w:rPr>
          <w:rFonts w:ascii="Times New Roman" w:hAnsi="Times New Roman"/>
          <w:sz w:val="24"/>
          <w:szCs w:val="24"/>
        </w:rPr>
      </w:pPr>
    </w:p>
    <w:p w14:paraId="1E6C2963" w14:textId="77777777" w:rsidR="00837B53" w:rsidRDefault="00837B53" w:rsidP="00837B5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2.</w:t>
      </w:r>
    </w:p>
    <w:p w14:paraId="367C6F1E" w14:textId="77777777" w:rsidR="00837B53" w:rsidRDefault="00837B53" w:rsidP="00837B5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Procedura iz članka 1. izvodi se po sljedećem postupku, osim ako posebnim propisom nije drugačije određeno:</w:t>
      </w:r>
    </w:p>
    <w:p w14:paraId="5EBF958F" w14:textId="77777777" w:rsidR="00837B53" w:rsidRDefault="00837B53" w:rsidP="00837B53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039"/>
        <w:gridCol w:w="1781"/>
        <w:gridCol w:w="1984"/>
        <w:gridCol w:w="1985"/>
      </w:tblGrid>
      <w:tr w:rsidR="00837B53" w:rsidRPr="00FF774F" w14:paraId="3ACEBCD5" w14:textId="77777777" w:rsidTr="00F43B52">
        <w:tc>
          <w:tcPr>
            <w:tcW w:w="675" w:type="dxa"/>
            <w:shd w:val="clear" w:color="auto" w:fill="auto"/>
          </w:tcPr>
          <w:p w14:paraId="76D9699C" w14:textId="77777777" w:rsidR="00837B53" w:rsidRPr="00FF774F" w:rsidRDefault="00837B53" w:rsidP="00F43B52">
            <w:pPr>
              <w:spacing w:after="0"/>
              <w:jc w:val="center"/>
              <w:rPr>
                <w:rFonts w:ascii="Times New Roman" w:hAnsi="Times New Roman"/>
              </w:rPr>
            </w:pPr>
            <w:r w:rsidRPr="00FF774F">
              <w:rPr>
                <w:rFonts w:ascii="Times New Roman" w:hAnsi="Times New Roman"/>
              </w:rPr>
              <w:t>Red.br.</w:t>
            </w:r>
          </w:p>
        </w:tc>
        <w:tc>
          <w:tcPr>
            <w:tcW w:w="3039" w:type="dxa"/>
            <w:shd w:val="clear" w:color="auto" w:fill="auto"/>
          </w:tcPr>
          <w:p w14:paraId="0DB57DA3" w14:textId="77777777" w:rsidR="00837B53" w:rsidRPr="00FF774F" w:rsidRDefault="00837B53" w:rsidP="00F43B52">
            <w:pPr>
              <w:spacing w:after="0"/>
              <w:jc w:val="center"/>
              <w:rPr>
                <w:rFonts w:ascii="Times New Roman" w:hAnsi="Times New Roman"/>
              </w:rPr>
            </w:pPr>
          </w:p>
          <w:p w14:paraId="06A1825A" w14:textId="77777777" w:rsidR="00837B53" w:rsidRPr="00FF774F" w:rsidRDefault="00837B53" w:rsidP="00F43B52">
            <w:pPr>
              <w:spacing w:after="0"/>
              <w:jc w:val="center"/>
              <w:rPr>
                <w:rFonts w:ascii="Times New Roman" w:hAnsi="Times New Roman"/>
              </w:rPr>
            </w:pPr>
            <w:r w:rsidRPr="00FF774F">
              <w:rPr>
                <w:rFonts w:ascii="Times New Roman" w:hAnsi="Times New Roman"/>
              </w:rPr>
              <w:t>AKTIVNOST</w:t>
            </w:r>
          </w:p>
        </w:tc>
        <w:tc>
          <w:tcPr>
            <w:tcW w:w="1781" w:type="dxa"/>
            <w:shd w:val="clear" w:color="auto" w:fill="auto"/>
          </w:tcPr>
          <w:p w14:paraId="7D1269A5" w14:textId="77777777" w:rsidR="00837B53" w:rsidRPr="00FF774F" w:rsidRDefault="00837B53" w:rsidP="00F43B52">
            <w:pPr>
              <w:spacing w:after="0"/>
              <w:jc w:val="center"/>
              <w:rPr>
                <w:rFonts w:ascii="Times New Roman" w:hAnsi="Times New Roman"/>
              </w:rPr>
            </w:pPr>
          </w:p>
          <w:p w14:paraId="466BCC90" w14:textId="77777777" w:rsidR="00837B53" w:rsidRPr="00FF774F" w:rsidRDefault="00837B53" w:rsidP="00F43B52">
            <w:pPr>
              <w:spacing w:after="0"/>
              <w:jc w:val="center"/>
              <w:rPr>
                <w:rFonts w:ascii="Times New Roman" w:hAnsi="Times New Roman"/>
              </w:rPr>
            </w:pPr>
            <w:r w:rsidRPr="00FF774F">
              <w:rPr>
                <w:rFonts w:ascii="Times New Roman" w:hAnsi="Times New Roman"/>
              </w:rPr>
              <w:t>NADLEŽNOST</w:t>
            </w:r>
          </w:p>
        </w:tc>
        <w:tc>
          <w:tcPr>
            <w:tcW w:w="1984" w:type="dxa"/>
            <w:shd w:val="clear" w:color="auto" w:fill="auto"/>
          </w:tcPr>
          <w:p w14:paraId="30938043" w14:textId="77777777" w:rsidR="00837B53" w:rsidRPr="00FF774F" w:rsidRDefault="00837B53" w:rsidP="00F43B52">
            <w:pPr>
              <w:spacing w:after="0"/>
              <w:jc w:val="center"/>
              <w:rPr>
                <w:rFonts w:ascii="Times New Roman" w:hAnsi="Times New Roman"/>
              </w:rPr>
            </w:pPr>
          </w:p>
          <w:p w14:paraId="25AC5CEA" w14:textId="77777777" w:rsidR="00837B53" w:rsidRPr="00FF774F" w:rsidRDefault="00837B53" w:rsidP="00F43B52">
            <w:pPr>
              <w:spacing w:after="0"/>
              <w:jc w:val="center"/>
              <w:rPr>
                <w:rFonts w:ascii="Times New Roman" w:hAnsi="Times New Roman"/>
              </w:rPr>
            </w:pPr>
            <w:r w:rsidRPr="00FF774F">
              <w:rPr>
                <w:rFonts w:ascii="Times New Roman" w:hAnsi="Times New Roman"/>
              </w:rPr>
              <w:t>DOKUMENT</w:t>
            </w:r>
          </w:p>
        </w:tc>
        <w:tc>
          <w:tcPr>
            <w:tcW w:w="1985" w:type="dxa"/>
            <w:shd w:val="clear" w:color="auto" w:fill="auto"/>
          </w:tcPr>
          <w:p w14:paraId="607536ED" w14:textId="77777777" w:rsidR="00837B53" w:rsidRPr="00FF774F" w:rsidRDefault="00837B53" w:rsidP="00F43B52">
            <w:pPr>
              <w:spacing w:after="0"/>
              <w:jc w:val="center"/>
              <w:rPr>
                <w:rFonts w:ascii="Times New Roman" w:hAnsi="Times New Roman"/>
              </w:rPr>
            </w:pPr>
          </w:p>
          <w:p w14:paraId="0BC90B9A" w14:textId="77777777" w:rsidR="00837B53" w:rsidRPr="00FF774F" w:rsidRDefault="00837B53" w:rsidP="00F43B52">
            <w:pPr>
              <w:spacing w:after="0"/>
              <w:jc w:val="center"/>
              <w:rPr>
                <w:rFonts w:ascii="Times New Roman" w:hAnsi="Times New Roman"/>
              </w:rPr>
            </w:pPr>
            <w:r w:rsidRPr="00FF774F">
              <w:rPr>
                <w:rFonts w:ascii="Times New Roman" w:hAnsi="Times New Roman"/>
              </w:rPr>
              <w:t>ROK</w:t>
            </w:r>
          </w:p>
        </w:tc>
      </w:tr>
      <w:tr w:rsidR="00837B53" w:rsidRPr="00FF774F" w14:paraId="06FAF4E5" w14:textId="77777777" w:rsidTr="00F43B52">
        <w:tc>
          <w:tcPr>
            <w:tcW w:w="675" w:type="dxa"/>
            <w:shd w:val="clear" w:color="auto" w:fill="auto"/>
          </w:tcPr>
          <w:p w14:paraId="282EFF76" w14:textId="77777777" w:rsidR="00837B53" w:rsidRPr="00FF774F" w:rsidRDefault="00837B53" w:rsidP="00F43B52">
            <w:pPr>
              <w:spacing w:after="0"/>
              <w:jc w:val="center"/>
              <w:rPr>
                <w:rFonts w:ascii="Times New Roman" w:hAnsi="Times New Roman"/>
              </w:rPr>
            </w:pPr>
            <w:r w:rsidRPr="00FF774F">
              <w:rPr>
                <w:rFonts w:ascii="Times New Roman" w:hAnsi="Times New Roman"/>
              </w:rPr>
              <w:t>1</w:t>
            </w:r>
          </w:p>
        </w:tc>
        <w:tc>
          <w:tcPr>
            <w:tcW w:w="3039" w:type="dxa"/>
            <w:shd w:val="clear" w:color="auto" w:fill="auto"/>
          </w:tcPr>
          <w:p w14:paraId="2E0B21AB" w14:textId="77777777" w:rsidR="00837B53" w:rsidRPr="00FF774F" w:rsidRDefault="00837B53" w:rsidP="00F43B52">
            <w:pPr>
              <w:spacing w:after="0"/>
              <w:jc w:val="center"/>
              <w:rPr>
                <w:rFonts w:ascii="Times New Roman" w:hAnsi="Times New Roman"/>
              </w:rPr>
            </w:pPr>
            <w:r w:rsidRPr="00FF774F">
              <w:rPr>
                <w:rFonts w:ascii="Times New Roman" w:hAnsi="Times New Roman"/>
              </w:rPr>
              <w:t>2</w:t>
            </w:r>
          </w:p>
        </w:tc>
        <w:tc>
          <w:tcPr>
            <w:tcW w:w="1781" w:type="dxa"/>
            <w:shd w:val="clear" w:color="auto" w:fill="auto"/>
          </w:tcPr>
          <w:p w14:paraId="7C1761C1" w14:textId="77777777" w:rsidR="00837B53" w:rsidRPr="00FF774F" w:rsidRDefault="00837B53" w:rsidP="00F43B52">
            <w:pPr>
              <w:spacing w:after="0"/>
              <w:jc w:val="center"/>
              <w:rPr>
                <w:rFonts w:ascii="Times New Roman" w:hAnsi="Times New Roman"/>
              </w:rPr>
            </w:pPr>
            <w:r w:rsidRPr="00FF774F">
              <w:rPr>
                <w:rFonts w:ascii="Times New Roman" w:hAnsi="Times New Roman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280E11A4" w14:textId="77777777" w:rsidR="00837B53" w:rsidRPr="00FF774F" w:rsidRDefault="00837B53" w:rsidP="00F43B52">
            <w:pPr>
              <w:spacing w:after="0"/>
              <w:jc w:val="center"/>
              <w:rPr>
                <w:rFonts w:ascii="Times New Roman" w:hAnsi="Times New Roman"/>
              </w:rPr>
            </w:pPr>
            <w:r w:rsidRPr="00FF774F">
              <w:rPr>
                <w:rFonts w:ascii="Times New Roman" w:hAnsi="Times New Roman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14:paraId="3EC7830A" w14:textId="77777777" w:rsidR="00837B53" w:rsidRPr="00FF774F" w:rsidRDefault="00837B53" w:rsidP="00F43B52">
            <w:pPr>
              <w:spacing w:after="0"/>
              <w:jc w:val="center"/>
              <w:rPr>
                <w:rFonts w:ascii="Times New Roman" w:hAnsi="Times New Roman"/>
              </w:rPr>
            </w:pPr>
            <w:r w:rsidRPr="00FF774F">
              <w:rPr>
                <w:rFonts w:ascii="Times New Roman" w:hAnsi="Times New Roman"/>
              </w:rPr>
              <w:t>5</w:t>
            </w:r>
          </w:p>
        </w:tc>
      </w:tr>
      <w:tr w:rsidR="00837B53" w:rsidRPr="00FF774F" w14:paraId="765C1D3F" w14:textId="77777777" w:rsidTr="00F43B52">
        <w:tc>
          <w:tcPr>
            <w:tcW w:w="675" w:type="dxa"/>
            <w:shd w:val="clear" w:color="auto" w:fill="auto"/>
          </w:tcPr>
          <w:p w14:paraId="6491BBFF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039" w:type="dxa"/>
            <w:shd w:val="clear" w:color="auto" w:fill="auto"/>
          </w:tcPr>
          <w:p w14:paraId="45E6186D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Sklapanje ugovora kao pravne osnove za naplatu</w:t>
            </w:r>
          </w:p>
        </w:tc>
        <w:tc>
          <w:tcPr>
            <w:tcW w:w="1781" w:type="dxa"/>
            <w:shd w:val="clear" w:color="auto" w:fill="auto"/>
          </w:tcPr>
          <w:p w14:paraId="2743F1EE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Tajništvo</w:t>
            </w:r>
          </w:p>
        </w:tc>
        <w:tc>
          <w:tcPr>
            <w:tcW w:w="1984" w:type="dxa"/>
            <w:shd w:val="clear" w:color="auto" w:fill="auto"/>
          </w:tcPr>
          <w:p w14:paraId="74A4F340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Ugovor</w:t>
            </w:r>
          </w:p>
        </w:tc>
        <w:tc>
          <w:tcPr>
            <w:tcW w:w="1985" w:type="dxa"/>
            <w:shd w:val="clear" w:color="auto" w:fill="auto"/>
          </w:tcPr>
          <w:p w14:paraId="7714DC80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Najmanje 8 dana prije realizacije usluge</w:t>
            </w:r>
          </w:p>
        </w:tc>
      </w:tr>
      <w:tr w:rsidR="00837B53" w:rsidRPr="00FF774F" w14:paraId="07D3633A" w14:textId="77777777" w:rsidTr="00F43B52">
        <w:tc>
          <w:tcPr>
            <w:tcW w:w="675" w:type="dxa"/>
            <w:shd w:val="clear" w:color="auto" w:fill="auto"/>
          </w:tcPr>
          <w:p w14:paraId="46DAF8BD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039" w:type="dxa"/>
            <w:shd w:val="clear" w:color="auto" w:fill="auto"/>
          </w:tcPr>
          <w:p w14:paraId="5985586E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Dostava podataka Računovodstvu potrebnih za izdavanje računa</w:t>
            </w:r>
          </w:p>
        </w:tc>
        <w:tc>
          <w:tcPr>
            <w:tcW w:w="1781" w:type="dxa"/>
            <w:shd w:val="clear" w:color="auto" w:fill="auto"/>
          </w:tcPr>
          <w:p w14:paraId="512F8B65" w14:textId="77777777" w:rsidR="00837B53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Tajništvo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</w:t>
            </w:r>
          </w:p>
          <w:p w14:paraId="6B9E51C5" w14:textId="0971679D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Odgojitelji skupine</w:t>
            </w:r>
          </w:p>
        </w:tc>
        <w:tc>
          <w:tcPr>
            <w:tcW w:w="1984" w:type="dxa"/>
            <w:shd w:val="clear" w:color="auto" w:fill="auto"/>
          </w:tcPr>
          <w:p w14:paraId="33B3DC4B" w14:textId="16CF2380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Ugovor</w:t>
            </w:r>
            <w:r>
              <w:rPr>
                <w:rFonts w:ascii="Times New Roman" w:hAnsi="Times New Roman"/>
                <w:sz w:val="20"/>
                <w:szCs w:val="20"/>
              </w:rPr>
              <w:t>, dokumentacija o upisu djeteta</w:t>
            </w:r>
          </w:p>
        </w:tc>
        <w:tc>
          <w:tcPr>
            <w:tcW w:w="1985" w:type="dxa"/>
            <w:shd w:val="clear" w:color="auto" w:fill="auto"/>
          </w:tcPr>
          <w:p w14:paraId="1616E81D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Odmah po sklapanju ugovora</w:t>
            </w:r>
          </w:p>
        </w:tc>
      </w:tr>
      <w:tr w:rsidR="00837B53" w:rsidRPr="00FF774F" w14:paraId="46BC0BE5" w14:textId="77777777" w:rsidTr="00F43B52">
        <w:tc>
          <w:tcPr>
            <w:tcW w:w="675" w:type="dxa"/>
            <w:shd w:val="clear" w:color="auto" w:fill="auto"/>
          </w:tcPr>
          <w:p w14:paraId="53924E82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039" w:type="dxa"/>
            <w:shd w:val="clear" w:color="auto" w:fill="auto"/>
          </w:tcPr>
          <w:p w14:paraId="2EDAB209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Izdavanje/izrada računa</w:t>
            </w:r>
          </w:p>
        </w:tc>
        <w:tc>
          <w:tcPr>
            <w:tcW w:w="1781" w:type="dxa"/>
            <w:shd w:val="clear" w:color="auto" w:fill="auto"/>
          </w:tcPr>
          <w:p w14:paraId="16ECD0D3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Računovodstvo</w:t>
            </w:r>
          </w:p>
        </w:tc>
        <w:tc>
          <w:tcPr>
            <w:tcW w:w="1984" w:type="dxa"/>
            <w:shd w:val="clear" w:color="auto" w:fill="auto"/>
          </w:tcPr>
          <w:p w14:paraId="1613E20E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Račun</w:t>
            </w:r>
          </w:p>
        </w:tc>
        <w:tc>
          <w:tcPr>
            <w:tcW w:w="1985" w:type="dxa"/>
            <w:shd w:val="clear" w:color="auto" w:fill="auto"/>
          </w:tcPr>
          <w:p w14:paraId="13D3FDCB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Mjesečno</w:t>
            </w:r>
          </w:p>
        </w:tc>
      </w:tr>
      <w:tr w:rsidR="00837B53" w:rsidRPr="00FF774F" w14:paraId="1B73ED62" w14:textId="77777777" w:rsidTr="00F43B52">
        <w:tc>
          <w:tcPr>
            <w:tcW w:w="675" w:type="dxa"/>
            <w:shd w:val="clear" w:color="auto" w:fill="auto"/>
          </w:tcPr>
          <w:p w14:paraId="37211E0B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3039" w:type="dxa"/>
            <w:shd w:val="clear" w:color="auto" w:fill="auto"/>
          </w:tcPr>
          <w:p w14:paraId="0C8A5B46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Ovjera i potpis računa</w:t>
            </w:r>
          </w:p>
        </w:tc>
        <w:tc>
          <w:tcPr>
            <w:tcW w:w="1781" w:type="dxa"/>
            <w:shd w:val="clear" w:color="auto" w:fill="auto"/>
          </w:tcPr>
          <w:p w14:paraId="32DC46A6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Ravnatelj</w:t>
            </w:r>
          </w:p>
        </w:tc>
        <w:tc>
          <w:tcPr>
            <w:tcW w:w="1984" w:type="dxa"/>
            <w:shd w:val="clear" w:color="auto" w:fill="auto"/>
          </w:tcPr>
          <w:p w14:paraId="478F2D50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Račun</w:t>
            </w:r>
          </w:p>
        </w:tc>
        <w:tc>
          <w:tcPr>
            <w:tcW w:w="1985" w:type="dxa"/>
            <w:shd w:val="clear" w:color="auto" w:fill="auto"/>
          </w:tcPr>
          <w:p w14:paraId="5ACA3C30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2 dana od izrade računa</w:t>
            </w:r>
          </w:p>
        </w:tc>
      </w:tr>
      <w:tr w:rsidR="00837B53" w:rsidRPr="00FF774F" w14:paraId="28227595" w14:textId="77777777" w:rsidTr="00F43B52">
        <w:tc>
          <w:tcPr>
            <w:tcW w:w="675" w:type="dxa"/>
            <w:shd w:val="clear" w:color="auto" w:fill="auto"/>
          </w:tcPr>
          <w:p w14:paraId="49668A50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3039" w:type="dxa"/>
            <w:shd w:val="clear" w:color="auto" w:fill="auto"/>
          </w:tcPr>
          <w:p w14:paraId="7DD5045D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Slanje izlaznog računa</w:t>
            </w:r>
          </w:p>
        </w:tc>
        <w:tc>
          <w:tcPr>
            <w:tcW w:w="1781" w:type="dxa"/>
            <w:shd w:val="clear" w:color="auto" w:fill="auto"/>
          </w:tcPr>
          <w:p w14:paraId="701553CD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Računovodstvo</w:t>
            </w:r>
          </w:p>
        </w:tc>
        <w:tc>
          <w:tcPr>
            <w:tcW w:w="1984" w:type="dxa"/>
            <w:shd w:val="clear" w:color="auto" w:fill="auto"/>
          </w:tcPr>
          <w:p w14:paraId="7D3CCE97" w14:textId="161C02F2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Račun</w:t>
            </w:r>
          </w:p>
        </w:tc>
        <w:tc>
          <w:tcPr>
            <w:tcW w:w="1985" w:type="dxa"/>
            <w:shd w:val="clear" w:color="auto" w:fill="auto"/>
          </w:tcPr>
          <w:p w14:paraId="20CE5F15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2 dana nakon ovjere</w:t>
            </w:r>
          </w:p>
        </w:tc>
      </w:tr>
      <w:tr w:rsidR="00837B53" w:rsidRPr="00FF774F" w14:paraId="579A2B66" w14:textId="77777777" w:rsidTr="00F43B52">
        <w:tc>
          <w:tcPr>
            <w:tcW w:w="675" w:type="dxa"/>
            <w:shd w:val="clear" w:color="auto" w:fill="auto"/>
          </w:tcPr>
          <w:p w14:paraId="4D059D82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3039" w:type="dxa"/>
            <w:shd w:val="clear" w:color="auto" w:fill="auto"/>
          </w:tcPr>
          <w:p w14:paraId="6B786FE5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Unos podataka u sustava (knjiženje izlaznih računa)</w:t>
            </w:r>
          </w:p>
        </w:tc>
        <w:tc>
          <w:tcPr>
            <w:tcW w:w="1781" w:type="dxa"/>
            <w:shd w:val="clear" w:color="auto" w:fill="auto"/>
          </w:tcPr>
          <w:p w14:paraId="0669A512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Računovodstvo</w:t>
            </w:r>
          </w:p>
        </w:tc>
        <w:tc>
          <w:tcPr>
            <w:tcW w:w="1984" w:type="dxa"/>
            <w:shd w:val="clear" w:color="auto" w:fill="auto"/>
          </w:tcPr>
          <w:p w14:paraId="1DEE6734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Knjiga izlaznih računa, Glavna knjiga</w:t>
            </w:r>
          </w:p>
        </w:tc>
        <w:tc>
          <w:tcPr>
            <w:tcW w:w="1985" w:type="dxa"/>
            <w:shd w:val="clear" w:color="auto" w:fill="auto"/>
          </w:tcPr>
          <w:p w14:paraId="5DF9EA30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Odmah po izradi računa</w:t>
            </w:r>
          </w:p>
        </w:tc>
      </w:tr>
      <w:tr w:rsidR="00837B53" w:rsidRPr="00FF774F" w14:paraId="2520C246" w14:textId="77777777" w:rsidTr="00F43B52">
        <w:tc>
          <w:tcPr>
            <w:tcW w:w="675" w:type="dxa"/>
            <w:shd w:val="clear" w:color="auto" w:fill="auto"/>
          </w:tcPr>
          <w:p w14:paraId="507FBA7A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3039" w:type="dxa"/>
            <w:shd w:val="clear" w:color="auto" w:fill="auto"/>
          </w:tcPr>
          <w:p w14:paraId="4F21ACAA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Evidentiranje naplaćenih prihoda</w:t>
            </w:r>
          </w:p>
        </w:tc>
        <w:tc>
          <w:tcPr>
            <w:tcW w:w="1781" w:type="dxa"/>
            <w:shd w:val="clear" w:color="auto" w:fill="auto"/>
          </w:tcPr>
          <w:p w14:paraId="59E9E77F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Računovodstvo</w:t>
            </w:r>
          </w:p>
        </w:tc>
        <w:tc>
          <w:tcPr>
            <w:tcW w:w="1984" w:type="dxa"/>
            <w:shd w:val="clear" w:color="auto" w:fill="auto"/>
          </w:tcPr>
          <w:p w14:paraId="7D62E8FF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Glavna knjiga</w:t>
            </w:r>
          </w:p>
        </w:tc>
        <w:tc>
          <w:tcPr>
            <w:tcW w:w="1985" w:type="dxa"/>
            <w:shd w:val="clear" w:color="auto" w:fill="auto"/>
          </w:tcPr>
          <w:p w14:paraId="56917420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Tjedno</w:t>
            </w:r>
          </w:p>
        </w:tc>
      </w:tr>
      <w:tr w:rsidR="00837B53" w:rsidRPr="00FF774F" w14:paraId="38551022" w14:textId="77777777" w:rsidTr="00F43B52">
        <w:tc>
          <w:tcPr>
            <w:tcW w:w="675" w:type="dxa"/>
            <w:shd w:val="clear" w:color="auto" w:fill="auto"/>
          </w:tcPr>
          <w:p w14:paraId="74C9B851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3039" w:type="dxa"/>
            <w:shd w:val="clear" w:color="auto" w:fill="auto"/>
          </w:tcPr>
          <w:p w14:paraId="79B0E0CD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Praćenje naplate prihoda(analitika)</w:t>
            </w:r>
          </w:p>
        </w:tc>
        <w:tc>
          <w:tcPr>
            <w:tcW w:w="1781" w:type="dxa"/>
            <w:shd w:val="clear" w:color="auto" w:fill="auto"/>
          </w:tcPr>
          <w:p w14:paraId="11AD0F89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Računovodstvo</w:t>
            </w:r>
          </w:p>
        </w:tc>
        <w:tc>
          <w:tcPr>
            <w:tcW w:w="1984" w:type="dxa"/>
            <w:shd w:val="clear" w:color="auto" w:fill="auto"/>
          </w:tcPr>
          <w:p w14:paraId="3739C65F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Izvadak po poslovnom računu</w:t>
            </w:r>
          </w:p>
        </w:tc>
        <w:tc>
          <w:tcPr>
            <w:tcW w:w="1985" w:type="dxa"/>
            <w:shd w:val="clear" w:color="auto" w:fill="auto"/>
          </w:tcPr>
          <w:p w14:paraId="3E7C0EEB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Tjedno</w:t>
            </w:r>
          </w:p>
        </w:tc>
      </w:tr>
      <w:tr w:rsidR="00837B53" w:rsidRPr="00FF774F" w14:paraId="2E168D19" w14:textId="77777777" w:rsidTr="00F43B52">
        <w:tc>
          <w:tcPr>
            <w:tcW w:w="675" w:type="dxa"/>
            <w:shd w:val="clear" w:color="auto" w:fill="auto"/>
          </w:tcPr>
          <w:p w14:paraId="3258BC1F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3039" w:type="dxa"/>
            <w:shd w:val="clear" w:color="auto" w:fill="auto"/>
          </w:tcPr>
          <w:p w14:paraId="1135CDF4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Utvrđivanje stanja dospjelih i nenaplaćenih potraživanja/prihoda</w:t>
            </w:r>
          </w:p>
        </w:tc>
        <w:tc>
          <w:tcPr>
            <w:tcW w:w="1781" w:type="dxa"/>
            <w:shd w:val="clear" w:color="auto" w:fill="auto"/>
          </w:tcPr>
          <w:p w14:paraId="582AB134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Računovodstvo</w:t>
            </w:r>
          </w:p>
        </w:tc>
        <w:tc>
          <w:tcPr>
            <w:tcW w:w="1984" w:type="dxa"/>
            <w:shd w:val="clear" w:color="auto" w:fill="auto"/>
          </w:tcPr>
          <w:p w14:paraId="78DCEE21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Izvod otvorenih stavaka</w:t>
            </w:r>
          </w:p>
        </w:tc>
        <w:tc>
          <w:tcPr>
            <w:tcW w:w="1985" w:type="dxa"/>
            <w:shd w:val="clear" w:color="auto" w:fill="auto"/>
          </w:tcPr>
          <w:p w14:paraId="4EA86AD0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Mjesečno</w:t>
            </w:r>
          </w:p>
        </w:tc>
      </w:tr>
      <w:tr w:rsidR="00837B53" w:rsidRPr="00FF774F" w14:paraId="70B5FD0A" w14:textId="77777777" w:rsidTr="00F43B52">
        <w:tc>
          <w:tcPr>
            <w:tcW w:w="675" w:type="dxa"/>
            <w:shd w:val="clear" w:color="auto" w:fill="auto"/>
          </w:tcPr>
          <w:p w14:paraId="322FC243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3039" w:type="dxa"/>
            <w:shd w:val="clear" w:color="auto" w:fill="auto"/>
          </w:tcPr>
          <w:p w14:paraId="6D3C576F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Upozoravanje i izdavanje opomena i opomena pred tužbu</w:t>
            </w:r>
          </w:p>
        </w:tc>
        <w:tc>
          <w:tcPr>
            <w:tcW w:w="1781" w:type="dxa"/>
            <w:shd w:val="clear" w:color="auto" w:fill="auto"/>
          </w:tcPr>
          <w:p w14:paraId="3EF32806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Računovodstvo</w:t>
            </w:r>
          </w:p>
        </w:tc>
        <w:tc>
          <w:tcPr>
            <w:tcW w:w="1984" w:type="dxa"/>
            <w:shd w:val="clear" w:color="auto" w:fill="auto"/>
          </w:tcPr>
          <w:p w14:paraId="11533AD6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Opomene i opomene pred ovrhu</w:t>
            </w:r>
          </w:p>
        </w:tc>
        <w:tc>
          <w:tcPr>
            <w:tcW w:w="1985" w:type="dxa"/>
            <w:shd w:val="clear" w:color="auto" w:fill="auto"/>
          </w:tcPr>
          <w:p w14:paraId="4104D040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Tijekom godine</w:t>
            </w:r>
          </w:p>
        </w:tc>
      </w:tr>
      <w:tr w:rsidR="00837B53" w:rsidRPr="00FF774F" w14:paraId="7D0E6227" w14:textId="77777777" w:rsidTr="00F43B52">
        <w:tc>
          <w:tcPr>
            <w:tcW w:w="675" w:type="dxa"/>
            <w:shd w:val="clear" w:color="auto" w:fill="auto"/>
          </w:tcPr>
          <w:p w14:paraId="10B96804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3039" w:type="dxa"/>
            <w:shd w:val="clear" w:color="auto" w:fill="auto"/>
          </w:tcPr>
          <w:p w14:paraId="33D80CD6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Donošenje odluke o prisilnoj naplati potraživanja (ovrha)</w:t>
            </w:r>
          </w:p>
        </w:tc>
        <w:tc>
          <w:tcPr>
            <w:tcW w:w="1781" w:type="dxa"/>
            <w:shd w:val="clear" w:color="auto" w:fill="auto"/>
          </w:tcPr>
          <w:p w14:paraId="02714E1B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Ravnatelj</w:t>
            </w:r>
          </w:p>
        </w:tc>
        <w:tc>
          <w:tcPr>
            <w:tcW w:w="1984" w:type="dxa"/>
            <w:shd w:val="clear" w:color="auto" w:fill="auto"/>
          </w:tcPr>
          <w:p w14:paraId="4FCE058C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 xml:space="preserve">Odluka o prisilnoj naplati potraživanja </w:t>
            </w:r>
          </w:p>
        </w:tc>
        <w:tc>
          <w:tcPr>
            <w:tcW w:w="1985" w:type="dxa"/>
            <w:shd w:val="clear" w:color="auto" w:fill="auto"/>
          </w:tcPr>
          <w:p w14:paraId="2DB7BE5B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Tijekom godine</w:t>
            </w:r>
          </w:p>
        </w:tc>
      </w:tr>
      <w:tr w:rsidR="00837B53" w:rsidRPr="00FF774F" w14:paraId="624B8493" w14:textId="77777777" w:rsidTr="00F43B52">
        <w:tc>
          <w:tcPr>
            <w:tcW w:w="675" w:type="dxa"/>
            <w:shd w:val="clear" w:color="auto" w:fill="auto"/>
          </w:tcPr>
          <w:p w14:paraId="2BD85BBE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3039" w:type="dxa"/>
            <w:shd w:val="clear" w:color="auto" w:fill="auto"/>
          </w:tcPr>
          <w:p w14:paraId="26445F51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Prisilna naplata potraživanja u skladu s Ovršnim zakonom</w:t>
            </w:r>
          </w:p>
        </w:tc>
        <w:tc>
          <w:tcPr>
            <w:tcW w:w="1781" w:type="dxa"/>
            <w:shd w:val="clear" w:color="auto" w:fill="auto"/>
          </w:tcPr>
          <w:p w14:paraId="2809715B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Tajništvo</w:t>
            </w:r>
          </w:p>
        </w:tc>
        <w:tc>
          <w:tcPr>
            <w:tcW w:w="1984" w:type="dxa"/>
            <w:shd w:val="clear" w:color="auto" w:fill="auto"/>
          </w:tcPr>
          <w:p w14:paraId="0D4E7C1D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Ovršni postupak kod javnog bilježnika</w:t>
            </w:r>
          </w:p>
        </w:tc>
        <w:tc>
          <w:tcPr>
            <w:tcW w:w="1985" w:type="dxa"/>
            <w:shd w:val="clear" w:color="auto" w:fill="auto"/>
          </w:tcPr>
          <w:p w14:paraId="16FC2606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15 dana nakon donošenja Odluke</w:t>
            </w:r>
          </w:p>
        </w:tc>
      </w:tr>
    </w:tbl>
    <w:p w14:paraId="7417A95F" w14:textId="77777777" w:rsidR="00BC3377" w:rsidRDefault="00BC3377" w:rsidP="00837B5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629F7CA" w14:textId="2A720ADE" w:rsidR="00837B53" w:rsidRDefault="00837B53" w:rsidP="00837B5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3.</w:t>
      </w:r>
    </w:p>
    <w:p w14:paraId="1313A194" w14:textId="77777777" w:rsidR="00837B53" w:rsidRDefault="00837B53" w:rsidP="00837B5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Uvodi se sustav redovitog mjesečnog opominjanja dužnika na ime dospjelih, a neplaćenih tražbina iz sadržaja vlastitih prihoda sukladno čl.1. st.2. ove Procedure.</w:t>
      </w:r>
    </w:p>
    <w:p w14:paraId="732A7025" w14:textId="77777777" w:rsidR="00837B53" w:rsidRDefault="00837B53" w:rsidP="00837B53">
      <w:pPr>
        <w:spacing w:after="0"/>
        <w:rPr>
          <w:rFonts w:ascii="Times New Roman" w:hAnsi="Times New Roman"/>
          <w:sz w:val="24"/>
          <w:szCs w:val="24"/>
        </w:rPr>
      </w:pPr>
    </w:p>
    <w:p w14:paraId="3E1D4349" w14:textId="77777777" w:rsidR="00837B53" w:rsidRDefault="00837B53" w:rsidP="00837B5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 isteku dospijeća plaćanja Računovodstvo šalje opomenu dužniku.</w:t>
      </w:r>
    </w:p>
    <w:p w14:paraId="03AB2D80" w14:textId="77777777" w:rsidR="00837B53" w:rsidRDefault="00837B53" w:rsidP="00837B53">
      <w:pPr>
        <w:spacing w:after="0"/>
        <w:rPr>
          <w:rFonts w:ascii="Times New Roman" w:hAnsi="Times New Roman"/>
          <w:sz w:val="24"/>
          <w:szCs w:val="24"/>
        </w:rPr>
      </w:pPr>
    </w:p>
    <w:p w14:paraId="58FD4324" w14:textId="77777777" w:rsidR="00837B53" w:rsidRDefault="00837B53" w:rsidP="00837B5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Tijekom sljedećih 30 dana Računovodstvo nadzire naplatu prihoda po opomenama.</w:t>
      </w:r>
    </w:p>
    <w:p w14:paraId="0705AC66" w14:textId="77777777" w:rsidR="00837B53" w:rsidRDefault="00837B53" w:rsidP="00837B53">
      <w:pPr>
        <w:spacing w:after="0"/>
        <w:rPr>
          <w:rFonts w:ascii="Times New Roman" w:hAnsi="Times New Roman"/>
          <w:sz w:val="24"/>
          <w:szCs w:val="24"/>
        </w:rPr>
      </w:pPr>
    </w:p>
    <w:p w14:paraId="7FB3833E" w14:textId="77777777" w:rsidR="00837B53" w:rsidRDefault="00837B53" w:rsidP="00837B5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4.</w:t>
      </w:r>
    </w:p>
    <w:p w14:paraId="24BED896" w14:textId="77777777" w:rsidR="00837B53" w:rsidRDefault="00837B53" w:rsidP="00837B5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Nakon što u roku 30 dana nije plaćen dug za koji je poslana opomena, računovodstvo o tome obavještava ravnatelja te se ispostavlja opomena pred ovrhu.</w:t>
      </w:r>
    </w:p>
    <w:p w14:paraId="4887BE18" w14:textId="77777777" w:rsidR="00837B53" w:rsidRDefault="00837B53" w:rsidP="00837B53">
      <w:pPr>
        <w:spacing w:after="0"/>
        <w:rPr>
          <w:rFonts w:ascii="Times New Roman" w:hAnsi="Times New Roman"/>
          <w:sz w:val="24"/>
          <w:szCs w:val="24"/>
        </w:rPr>
      </w:pPr>
    </w:p>
    <w:p w14:paraId="1A948320" w14:textId="77777777" w:rsidR="00837B53" w:rsidRDefault="00837B53" w:rsidP="00837B5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Ukoliko u roku 15 dana po ponovljenoj opomeni nije plaćen dug, ravnatelj donosi Odluku o prisilnoj naplati potraživanja te se pokreće ovršni postupak kod javnog bilježnika.</w:t>
      </w:r>
    </w:p>
    <w:p w14:paraId="4E772563" w14:textId="77777777" w:rsidR="00837B53" w:rsidRDefault="00837B53" w:rsidP="00837B53">
      <w:pPr>
        <w:spacing w:after="0"/>
        <w:rPr>
          <w:rFonts w:ascii="Times New Roman" w:hAnsi="Times New Roman"/>
          <w:sz w:val="24"/>
          <w:szCs w:val="24"/>
        </w:rPr>
      </w:pPr>
    </w:p>
    <w:p w14:paraId="4BE21ABC" w14:textId="77777777" w:rsidR="00837B53" w:rsidRDefault="00837B53" w:rsidP="00837B5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Ovršni postupak pokreće se za dugovanja u visini većoj od 7</w:t>
      </w:r>
      <w:r w:rsidRPr="00AE0890">
        <w:rPr>
          <w:rFonts w:ascii="Times New Roman" w:hAnsi="Times New Roman"/>
          <w:sz w:val="24"/>
          <w:szCs w:val="24"/>
        </w:rPr>
        <w:t xml:space="preserve">00,00 </w:t>
      </w:r>
      <w:r>
        <w:rPr>
          <w:rFonts w:ascii="Times New Roman" w:hAnsi="Times New Roman"/>
          <w:sz w:val="24"/>
          <w:szCs w:val="24"/>
        </w:rPr>
        <w:t>kuna po jednom dužniku.</w:t>
      </w:r>
    </w:p>
    <w:p w14:paraId="3C287AFC" w14:textId="77777777" w:rsidR="00837B53" w:rsidRDefault="00837B53" w:rsidP="00837B53">
      <w:pPr>
        <w:spacing w:after="0"/>
        <w:rPr>
          <w:rFonts w:ascii="Times New Roman" w:hAnsi="Times New Roman"/>
          <w:sz w:val="24"/>
          <w:szCs w:val="24"/>
        </w:rPr>
      </w:pPr>
    </w:p>
    <w:p w14:paraId="7802E378" w14:textId="77777777" w:rsidR="00837B53" w:rsidRDefault="00837B53" w:rsidP="00837B5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Procedura iz st. 1. izvodi se po sljedećem postupku: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039"/>
        <w:gridCol w:w="1781"/>
        <w:gridCol w:w="2126"/>
        <w:gridCol w:w="1843"/>
      </w:tblGrid>
      <w:tr w:rsidR="00837B53" w:rsidRPr="00FF774F" w14:paraId="06531144" w14:textId="77777777" w:rsidTr="00F43B52">
        <w:tc>
          <w:tcPr>
            <w:tcW w:w="675" w:type="dxa"/>
            <w:shd w:val="clear" w:color="auto" w:fill="auto"/>
          </w:tcPr>
          <w:p w14:paraId="21DD6F34" w14:textId="77777777" w:rsidR="00837B53" w:rsidRPr="00FF774F" w:rsidRDefault="00837B53" w:rsidP="00F43B52">
            <w:pPr>
              <w:spacing w:after="0"/>
              <w:jc w:val="center"/>
              <w:rPr>
                <w:rFonts w:ascii="Times New Roman" w:hAnsi="Times New Roman"/>
              </w:rPr>
            </w:pPr>
            <w:r w:rsidRPr="00FF774F">
              <w:rPr>
                <w:rFonts w:ascii="Times New Roman" w:hAnsi="Times New Roman"/>
              </w:rPr>
              <w:t>Red.br.</w:t>
            </w:r>
          </w:p>
        </w:tc>
        <w:tc>
          <w:tcPr>
            <w:tcW w:w="3039" w:type="dxa"/>
            <w:shd w:val="clear" w:color="auto" w:fill="auto"/>
          </w:tcPr>
          <w:p w14:paraId="46FFD410" w14:textId="77777777" w:rsidR="00837B53" w:rsidRPr="00FF774F" w:rsidRDefault="00837B53" w:rsidP="00F43B52">
            <w:pPr>
              <w:spacing w:after="0"/>
              <w:jc w:val="center"/>
              <w:rPr>
                <w:rFonts w:ascii="Times New Roman" w:hAnsi="Times New Roman"/>
              </w:rPr>
            </w:pPr>
          </w:p>
          <w:p w14:paraId="5F77502A" w14:textId="77777777" w:rsidR="00837B53" w:rsidRPr="00FF774F" w:rsidRDefault="00837B53" w:rsidP="00F43B52">
            <w:pPr>
              <w:spacing w:after="0"/>
              <w:jc w:val="center"/>
              <w:rPr>
                <w:rFonts w:ascii="Times New Roman" w:hAnsi="Times New Roman"/>
              </w:rPr>
            </w:pPr>
            <w:r w:rsidRPr="00FF774F">
              <w:rPr>
                <w:rFonts w:ascii="Times New Roman" w:hAnsi="Times New Roman"/>
              </w:rPr>
              <w:t>AKTIVNOST</w:t>
            </w:r>
          </w:p>
        </w:tc>
        <w:tc>
          <w:tcPr>
            <w:tcW w:w="1781" w:type="dxa"/>
            <w:shd w:val="clear" w:color="auto" w:fill="auto"/>
          </w:tcPr>
          <w:p w14:paraId="7F4B39BD" w14:textId="77777777" w:rsidR="00837B53" w:rsidRPr="00FF774F" w:rsidRDefault="00837B53" w:rsidP="00F43B52">
            <w:pPr>
              <w:spacing w:after="0"/>
              <w:jc w:val="center"/>
              <w:rPr>
                <w:rFonts w:ascii="Times New Roman" w:hAnsi="Times New Roman"/>
              </w:rPr>
            </w:pPr>
          </w:p>
          <w:p w14:paraId="03F309BD" w14:textId="77777777" w:rsidR="00837B53" w:rsidRPr="00FF774F" w:rsidRDefault="00837B53" w:rsidP="00F43B52">
            <w:pPr>
              <w:spacing w:after="0"/>
              <w:jc w:val="center"/>
              <w:rPr>
                <w:rFonts w:ascii="Times New Roman" w:hAnsi="Times New Roman"/>
              </w:rPr>
            </w:pPr>
            <w:r w:rsidRPr="00FF774F">
              <w:rPr>
                <w:rFonts w:ascii="Times New Roman" w:hAnsi="Times New Roman"/>
              </w:rPr>
              <w:t>NADLEŽNOST</w:t>
            </w:r>
          </w:p>
        </w:tc>
        <w:tc>
          <w:tcPr>
            <w:tcW w:w="2126" w:type="dxa"/>
            <w:shd w:val="clear" w:color="auto" w:fill="auto"/>
          </w:tcPr>
          <w:p w14:paraId="1DC957BA" w14:textId="77777777" w:rsidR="00837B53" w:rsidRPr="00FF774F" w:rsidRDefault="00837B53" w:rsidP="00F43B52">
            <w:pPr>
              <w:spacing w:after="0"/>
              <w:jc w:val="center"/>
              <w:rPr>
                <w:rFonts w:ascii="Times New Roman" w:hAnsi="Times New Roman"/>
              </w:rPr>
            </w:pPr>
          </w:p>
          <w:p w14:paraId="503739A9" w14:textId="77777777" w:rsidR="00837B53" w:rsidRPr="00FF774F" w:rsidRDefault="00837B53" w:rsidP="00F43B52">
            <w:pPr>
              <w:spacing w:after="0"/>
              <w:jc w:val="center"/>
              <w:rPr>
                <w:rFonts w:ascii="Times New Roman" w:hAnsi="Times New Roman"/>
              </w:rPr>
            </w:pPr>
            <w:r w:rsidRPr="00FF774F">
              <w:rPr>
                <w:rFonts w:ascii="Times New Roman" w:hAnsi="Times New Roman"/>
              </w:rPr>
              <w:t>DOKUMENT</w:t>
            </w:r>
          </w:p>
        </w:tc>
        <w:tc>
          <w:tcPr>
            <w:tcW w:w="1843" w:type="dxa"/>
            <w:shd w:val="clear" w:color="auto" w:fill="auto"/>
          </w:tcPr>
          <w:p w14:paraId="71ABDFFC" w14:textId="77777777" w:rsidR="00837B53" w:rsidRPr="00FF774F" w:rsidRDefault="00837B53" w:rsidP="00F43B52">
            <w:pPr>
              <w:spacing w:after="0"/>
              <w:jc w:val="center"/>
              <w:rPr>
                <w:rFonts w:ascii="Times New Roman" w:hAnsi="Times New Roman"/>
              </w:rPr>
            </w:pPr>
          </w:p>
          <w:p w14:paraId="69BCAD59" w14:textId="77777777" w:rsidR="00837B53" w:rsidRPr="00FF774F" w:rsidRDefault="00837B53" w:rsidP="00F43B52">
            <w:pPr>
              <w:spacing w:after="0"/>
              <w:jc w:val="center"/>
              <w:rPr>
                <w:rFonts w:ascii="Times New Roman" w:hAnsi="Times New Roman"/>
              </w:rPr>
            </w:pPr>
            <w:r w:rsidRPr="00FF774F">
              <w:rPr>
                <w:rFonts w:ascii="Times New Roman" w:hAnsi="Times New Roman"/>
              </w:rPr>
              <w:t>ROK</w:t>
            </w:r>
          </w:p>
        </w:tc>
      </w:tr>
      <w:tr w:rsidR="00837B53" w:rsidRPr="00FF774F" w14:paraId="01FFBE3A" w14:textId="77777777" w:rsidTr="00F43B52">
        <w:tc>
          <w:tcPr>
            <w:tcW w:w="675" w:type="dxa"/>
            <w:shd w:val="clear" w:color="auto" w:fill="auto"/>
          </w:tcPr>
          <w:p w14:paraId="3BCA20B1" w14:textId="77777777" w:rsidR="00837B53" w:rsidRPr="00FF774F" w:rsidRDefault="00837B53" w:rsidP="00F43B52">
            <w:pPr>
              <w:spacing w:after="0"/>
              <w:jc w:val="center"/>
              <w:rPr>
                <w:rFonts w:ascii="Times New Roman" w:hAnsi="Times New Roman"/>
              </w:rPr>
            </w:pPr>
            <w:r w:rsidRPr="00FF774F">
              <w:rPr>
                <w:rFonts w:ascii="Times New Roman" w:hAnsi="Times New Roman"/>
              </w:rPr>
              <w:t>1</w:t>
            </w:r>
          </w:p>
        </w:tc>
        <w:tc>
          <w:tcPr>
            <w:tcW w:w="3039" w:type="dxa"/>
            <w:shd w:val="clear" w:color="auto" w:fill="auto"/>
          </w:tcPr>
          <w:p w14:paraId="5454E89D" w14:textId="77777777" w:rsidR="00837B53" w:rsidRPr="00FF774F" w:rsidRDefault="00837B53" w:rsidP="00F43B52">
            <w:pPr>
              <w:spacing w:after="0"/>
              <w:jc w:val="center"/>
              <w:rPr>
                <w:rFonts w:ascii="Times New Roman" w:hAnsi="Times New Roman"/>
              </w:rPr>
            </w:pPr>
            <w:r w:rsidRPr="00FF774F">
              <w:rPr>
                <w:rFonts w:ascii="Times New Roman" w:hAnsi="Times New Roman"/>
              </w:rPr>
              <w:t>2</w:t>
            </w:r>
          </w:p>
        </w:tc>
        <w:tc>
          <w:tcPr>
            <w:tcW w:w="1781" w:type="dxa"/>
            <w:shd w:val="clear" w:color="auto" w:fill="auto"/>
          </w:tcPr>
          <w:p w14:paraId="586C9F5B" w14:textId="77777777" w:rsidR="00837B53" w:rsidRPr="00FF774F" w:rsidRDefault="00837B53" w:rsidP="00F43B52">
            <w:pPr>
              <w:spacing w:after="0"/>
              <w:jc w:val="center"/>
              <w:rPr>
                <w:rFonts w:ascii="Times New Roman" w:hAnsi="Times New Roman"/>
              </w:rPr>
            </w:pPr>
            <w:r w:rsidRPr="00FF774F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5A2A5B78" w14:textId="77777777" w:rsidR="00837B53" w:rsidRPr="00FF774F" w:rsidRDefault="00837B53" w:rsidP="00F43B52">
            <w:pPr>
              <w:spacing w:after="0"/>
              <w:jc w:val="center"/>
              <w:rPr>
                <w:rFonts w:ascii="Times New Roman" w:hAnsi="Times New Roman"/>
              </w:rPr>
            </w:pPr>
            <w:r w:rsidRPr="00FF774F"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2603FCA3" w14:textId="77777777" w:rsidR="00837B53" w:rsidRPr="00FF774F" w:rsidRDefault="00837B53" w:rsidP="00F43B52">
            <w:pPr>
              <w:spacing w:after="0"/>
              <w:jc w:val="center"/>
              <w:rPr>
                <w:rFonts w:ascii="Times New Roman" w:hAnsi="Times New Roman"/>
              </w:rPr>
            </w:pPr>
            <w:r w:rsidRPr="00FF774F">
              <w:rPr>
                <w:rFonts w:ascii="Times New Roman" w:hAnsi="Times New Roman"/>
              </w:rPr>
              <w:t>5</w:t>
            </w:r>
          </w:p>
        </w:tc>
      </w:tr>
      <w:tr w:rsidR="00837B53" w:rsidRPr="00FF774F" w14:paraId="538B87EC" w14:textId="77777777" w:rsidTr="00F43B52">
        <w:tc>
          <w:tcPr>
            <w:tcW w:w="675" w:type="dxa"/>
            <w:shd w:val="clear" w:color="auto" w:fill="auto"/>
          </w:tcPr>
          <w:p w14:paraId="4B3175B6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039" w:type="dxa"/>
            <w:shd w:val="clear" w:color="auto" w:fill="auto"/>
          </w:tcPr>
          <w:p w14:paraId="437D9B44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Utvrđivanje knjigovodstvenog stanja dužnika/prikupljanje podataka o poslovnom računu ili imovinskog stanja</w:t>
            </w:r>
          </w:p>
        </w:tc>
        <w:tc>
          <w:tcPr>
            <w:tcW w:w="1781" w:type="dxa"/>
            <w:shd w:val="clear" w:color="auto" w:fill="auto"/>
          </w:tcPr>
          <w:p w14:paraId="44BA4982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Računovodstvo</w:t>
            </w:r>
          </w:p>
        </w:tc>
        <w:tc>
          <w:tcPr>
            <w:tcW w:w="2126" w:type="dxa"/>
            <w:shd w:val="clear" w:color="auto" w:fill="auto"/>
          </w:tcPr>
          <w:p w14:paraId="39A2D6D8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Knjigovodstvene kartice</w:t>
            </w:r>
          </w:p>
        </w:tc>
        <w:tc>
          <w:tcPr>
            <w:tcW w:w="1843" w:type="dxa"/>
            <w:shd w:val="clear" w:color="auto" w:fill="auto"/>
          </w:tcPr>
          <w:p w14:paraId="3718F569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Prije zastare potraživanja</w:t>
            </w:r>
          </w:p>
        </w:tc>
      </w:tr>
      <w:tr w:rsidR="00837B53" w:rsidRPr="00FF774F" w14:paraId="4B0911B3" w14:textId="77777777" w:rsidTr="00F43B52">
        <w:tc>
          <w:tcPr>
            <w:tcW w:w="675" w:type="dxa"/>
            <w:shd w:val="clear" w:color="auto" w:fill="auto"/>
          </w:tcPr>
          <w:p w14:paraId="2AEA4D37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039" w:type="dxa"/>
            <w:shd w:val="clear" w:color="auto" w:fill="auto"/>
          </w:tcPr>
          <w:p w14:paraId="79A100B5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Prikupljanje dokumentacije za ovršni postupak</w:t>
            </w:r>
          </w:p>
        </w:tc>
        <w:tc>
          <w:tcPr>
            <w:tcW w:w="1781" w:type="dxa"/>
            <w:shd w:val="clear" w:color="auto" w:fill="auto"/>
          </w:tcPr>
          <w:p w14:paraId="30A515C4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Računovodstvo</w:t>
            </w:r>
          </w:p>
        </w:tc>
        <w:tc>
          <w:tcPr>
            <w:tcW w:w="2126" w:type="dxa"/>
            <w:shd w:val="clear" w:color="auto" w:fill="auto"/>
          </w:tcPr>
          <w:p w14:paraId="4840DD57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Knjigovodstvena kartica ili računi/obračun kamata/opomena s povratnicom</w:t>
            </w:r>
          </w:p>
        </w:tc>
        <w:tc>
          <w:tcPr>
            <w:tcW w:w="1843" w:type="dxa"/>
            <w:shd w:val="clear" w:color="auto" w:fill="auto"/>
          </w:tcPr>
          <w:p w14:paraId="7B7823F9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Prije zastare potraživanja</w:t>
            </w:r>
          </w:p>
        </w:tc>
      </w:tr>
      <w:tr w:rsidR="00837B53" w:rsidRPr="00FF774F" w14:paraId="31FDEF5B" w14:textId="77777777" w:rsidTr="00F43B52">
        <w:tc>
          <w:tcPr>
            <w:tcW w:w="675" w:type="dxa"/>
            <w:shd w:val="clear" w:color="auto" w:fill="auto"/>
          </w:tcPr>
          <w:p w14:paraId="35F8DED0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039" w:type="dxa"/>
            <w:shd w:val="clear" w:color="auto" w:fill="auto"/>
          </w:tcPr>
          <w:p w14:paraId="2788A2C9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Izrada prijedloga za ovrhu</w:t>
            </w:r>
          </w:p>
        </w:tc>
        <w:tc>
          <w:tcPr>
            <w:tcW w:w="1781" w:type="dxa"/>
            <w:shd w:val="clear" w:color="auto" w:fill="auto"/>
          </w:tcPr>
          <w:p w14:paraId="3FD9CEF6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Računovodstvo/ Tajništvo</w:t>
            </w:r>
          </w:p>
        </w:tc>
        <w:tc>
          <w:tcPr>
            <w:tcW w:w="2126" w:type="dxa"/>
            <w:shd w:val="clear" w:color="auto" w:fill="auto"/>
          </w:tcPr>
          <w:p w14:paraId="21E59A52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Nacrt prijedloga za ovrhu Općinskom sudu ili javnom bilježniku</w:t>
            </w:r>
          </w:p>
        </w:tc>
        <w:tc>
          <w:tcPr>
            <w:tcW w:w="1843" w:type="dxa"/>
            <w:shd w:val="clear" w:color="auto" w:fill="auto"/>
          </w:tcPr>
          <w:p w14:paraId="005E054C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Najkasnije 2 dana od Odluke ravnatelja</w:t>
            </w:r>
          </w:p>
        </w:tc>
      </w:tr>
      <w:tr w:rsidR="00837B53" w:rsidRPr="00FF774F" w14:paraId="17B588B5" w14:textId="77777777" w:rsidTr="00F43B52">
        <w:tc>
          <w:tcPr>
            <w:tcW w:w="675" w:type="dxa"/>
            <w:shd w:val="clear" w:color="auto" w:fill="auto"/>
          </w:tcPr>
          <w:p w14:paraId="75D4391E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3039" w:type="dxa"/>
            <w:shd w:val="clear" w:color="auto" w:fill="auto"/>
          </w:tcPr>
          <w:p w14:paraId="69A031ED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Ovjera i potpis prijedloga za ovrhu</w:t>
            </w:r>
          </w:p>
        </w:tc>
        <w:tc>
          <w:tcPr>
            <w:tcW w:w="1781" w:type="dxa"/>
            <w:shd w:val="clear" w:color="auto" w:fill="auto"/>
          </w:tcPr>
          <w:p w14:paraId="41A83F05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Ravnatelj</w:t>
            </w:r>
          </w:p>
        </w:tc>
        <w:tc>
          <w:tcPr>
            <w:tcW w:w="2126" w:type="dxa"/>
            <w:shd w:val="clear" w:color="auto" w:fill="auto"/>
          </w:tcPr>
          <w:p w14:paraId="6E866833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Prijedlog za ovrhu Općinskom sudu ili javnom bilježniku</w:t>
            </w:r>
          </w:p>
        </w:tc>
        <w:tc>
          <w:tcPr>
            <w:tcW w:w="1843" w:type="dxa"/>
            <w:shd w:val="clear" w:color="auto" w:fill="auto"/>
          </w:tcPr>
          <w:p w14:paraId="35584E03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7B53" w:rsidRPr="00FF774F" w14:paraId="74C56F35" w14:textId="77777777" w:rsidTr="00F43B52">
        <w:tc>
          <w:tcPr>
            <w:tcW w:w="675" w:type="dxa"/>
            <w:shd w:val="clear" w:color="auto" w:fill="auto"/>
          </w:tcPr>
          <w:p w14:paraId="2A4A4366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3039" w:type="dxa"/>
            <w:shd w:val="clear" w:color="auto" w:fill="auto"/>
          </w:tcPr>
          <w:p w14:paraId="7E086A01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Dostava prijedloga za ovrhu Općinskom sudu ili javnom bilježniku</w:t>
            </w:r>
          </w:p>
        </w:tc>
        <w:tc>
          <w:tcPr>
            <w:tcW w:w="1781" w:type="dxa"/>
            <w:shd w:val="clear" w:color="auto" w:fill="auto"/>
          </w:tcPr>
          <w:p w14:paraId="23D7B348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Tajništvo</w:t>
            </w:r>
          </w:p>
        </w:tc>
        <w:tc>
          <w:tcPr>
            <w:tcW w:w="2126" w:type="dxa"/>
            <w:shd w:val="clear" w:color="auto" w:fill="auto"/>
          </w:tcPr>
          <w:p w14:paraId="2505A201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Prijedlog za ovrhu</w:t>
            </w:r>
          </w:p>
        </w:tc>
        <w:tc>
          <w:tcPr>
            <w:tcW w:w="1843" w:type="dxa"/>
            <w:shd w:val="clear" w:color="auto" w:fill="auto"/>
          </w:tcPr>
          <w:p w14:paraId="6424D9D3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Najkasnije dva dana od izrade prijedloga</w:t>
            </w:r>
          </w:p>
        </w:tc>
      </w:tr>
      <w:tr w:rsidR="00837B53" w:rsidRPr="00FF774F" w14:paraId="66FDBF0E" w14:textId="77777777" w:rsidTr="00F43B52">
        <w:tc>
          <w:tcPr>
            <w:tcW w:w="675" w:type="dxa"/>
            <w:shd w:val="clear" w:color="auto" w:fill="auto"/>
          </w:tcPr>
          <w:p w14:paraId="5548323F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3039" w:type="dxa"/>
            <w:shd w:val="clear" w:color="auto" w:fill="auto"/>
          </w:tcPr>
          <w:p w14:paraId="4DBC8D9A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Dostava pravomoćnih rješenja o ovrsi FINI</w:t>
            </w:r>
          </w:p>
        </w:tc>
        <w:tc>
          <w:tcPr>
            <w:tcW w:w="1781" w:type="dxa"/>
            <w:shd w:val="clear" w:color="auto" w:fill="auto"/>
          </w:tcPr>
          <w:p w14:paraId="55912A4E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Tajništvo</w:t>
            </w:r>
          </w:p>
        </w:tc>
        <w:tc>
          <w:tcPr>
            <w:tcW w:w="2126" w:type="dxa"/>
            <w:shd w:val="clear" w:color="auto" w:fill="auto"/>
          </w:tcPr>
          <w:p w14:paraId="3D10D89D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Pravomoćno rješenje</w:t>
            </w:r>
          </w:p>
        </w:tc>
        <w:tc>
          <w:tcPr>
            <w:tcW w:w="1843" w:type="dxa"/>
            <w:shd w:val="clear" w:color="auto" w:fill="auto"/>
          </w:tcPr>
          <w:p w14:paraId="4A52D68D" w14:textId="77777777" w:rsidR="00837B53" w:rsidRPr="00FF774F" w:rsidRDefault="00837B53" w:rsidP="00F43B5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F774F">
              <w:rPr>
                <w:rFonts w:ascii="Times New Roman" w:hAnsi="Times New Roman"/>
                <w:sz w:val="20"/>
                <w:szCs w:val="20"/>
              </w:rPr>
              <w:t>Najkasnije dva dana od primitka pravomoćnih rješenja</w:t>
            </w:r>
          </w:p>
        </w:tc>
      </w:tr>
    </w:tbl>
    <w:p w14:paraId="2F976224" w14:textId="77777777" w:rsidR="00837B53" w:rsidRDefault="00837B53" w:rsidP="00837B53">
      <w:pPr>
        <w:spacing w:after="0"/>
        <w:rPr>
          <w:rFonts w:ascii="Times New Roman" w:hAnsi="Times New Roman"/>
          <w:sz w:val="24"/>
          <w:szCs w:val="24"/>
        </w:rPr>
      </w:pPr>
    </w:p>
    <w:p w14:paraId="2FFF5CCA" w14:textId="77777777" w:rsidR="00BC3377" w:rsidRDefault="00BC3377" w:rsidP="00837B5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69A6B5C" w14:textId="77777777" w:rsidR="00BC3377" w:rsidRDefault="00BC3377" w:rsidP="00837B5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C4D205C" w14:textId="77777777" w:rsidR="00BC3377" w:rsidRDefault="00BC3377" w:rsidP="00837B5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D9CC1B0" w14:textId="5D157C44" w:rsidR="00837B53" w:rsidRDefault="00837B53" w:rsidP="00837B5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5.</w:t>
      </w:r>
    </w:p>
    <w:p w14:paraId="61BF6922" w14:textId="77777777" w:rsidR="00837B53" w:rsidRDefault="00837B53" w:rsidP="00837B5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 procedura stupa na snagu danom donošenja i objavit će se na mrežnim stranicama Vrtića.</w:t>
      </w:r>
    </w:p>
    <w:p w14:paraId="02FCF156" w14:textId="55DF333A" w:rsidR="00837B53" w:rsidRDefault="00837B53" w:rsidP="00837B53">
      <w:pPr>
        <w:spacing w:after="0"/>
        <w:rPr>
          <w:rFonts w:ascii="Times New Roman" w:hAnsi="Times New Roman"/>
          <w:sz w:val="24"/>
          <w:szCs w:val="24"/>
        </w:rPr>
      </w:pPr>
    </w:p>
    <w:p w14:paraId="6EBD0EAF" w14:textId="65E94EE0" w:rsidR="00BC3377" w:rsidRDefault="00BC3377" w:rsidP="00837B53">
      <w:pPr>
        <w:spacing w:after="0"/>
        <w:rPr>
          <w:rFonts w:ascii="Times New Roman" w:hAnsi="Times New Roman"/>
          <w:sz w:val="24"/>
          <w:szCs w:val="24"/>
        </w:rPr>
      </w:pPr>
    </w:p>
    <w:p w14:paraId="4283D898" w14:textId="5719044D" w:rsidR="00BC3377" w:rsidRDefault="00BC3377" w:rsidP="00837B53">
      <w:pPr>
        <w:spacing w:after="0"/>
        <w:rPr>
          <w:rFonts w:ascii="Times New Roman" w:hAnsi="Times New Roman"/>
          <w:sz w:val="24"/>
          <w:szCs w:val="24"/>
        </w:rPr>
      </w:pPr>
    </w:p>
    <w:p w14:paraId="75C6E9F1" w14:textId="6B09B8EF" w:rsidR="00BC3377" w:rsidRDefault="00BC3377" w:rsidP="00837B53">
      <w:pPr>
        <w:spacing w:after="0"/>
        <w:rPr>
          <w:rFonts w:ascii="Times New Roman" w:hAnsi="Times New Roman"/>
          <w:sz w:val="24"/>
          <w:szCs w:val="24"/>
        </w:rPr>
      </w:pPr>
    </w:p>
    <w:p w14:paraId="6F08A8B9" w14:textId="3A3DC3CF" w:rsidR="00BC3377" w:rsidRDefault="00BC3377" w:rsidP="00837B53">
      <w:pPr>
        <w:spacing w:after="0"/>
        <w:rPr>
          <w:rFonts w:ascii="Times New Roman" w:hAnsi="Times New Roman"/>
          <w:sz w:val="24"/>
          <w:szCs w:val="24"/>
        </w:rPr>
      </w:pPr>
    </w:p>
    <w:p w14:paraId="6E8DA6C0" w14:textId="4B4309B0" w:rsidR="00BC3377" w:rsidRDefault="00BC3377" w:rsidP="00837B53">
      <w:pPr>
        <w:spacing w:after="0"/>
        <w:rPr>
          <w:rFonts w:ascii="Times New Roman" w:hAnsi="Times New Roman"/>
          <w:sz w:val="24"/>
          <w:szCs w:val="24"/>
        </w:rPr>
      </w:pPr>
    </w:p>
    <w:p w14:paraId="65D77B2E" w14:textId="169D702D" w:rsidR="00BC3377" w:rsidRDefault="00BC3377" w:rsidP="00837B53">
      <w:pPr>
        <w:spacing w:after="0"/>
        <w:rPr>
          <w:rFonts w:ascii="Times New Roman" w:hAnsi="Times New Roman"/>
          <w:sz w:val="24"/>
          <w:szCs w:val="24"/>
        </w:rPr>
      </w:pPr>
    </w:p>
    <w:p w14:paraId="30E5275F" w14:textId="622423C1" w:rsidR="00BC3377" w:rsidRDefault="00BC3377" w:rsidP="00837B53">
      <w:pPr>
        <w:spacing w:after="0"/>
        <w:rPr>
          <w:rFonts w:ascii="Times New Roman" w:hAnsi="Times New Roman"/>
          <w:sz w:val="24"/>
          <w:szCs w:val="24"/>
        </w:rPr>
      </w:pPr>
    </w:p>
    <w:p w14:paraId="1F7C7E74" w14:textId="060BEBBB" w:rsidR="00BC3377" w:rsidRDefault="00BC3377" w:rsidP="00837B53">
      <w:pPr>
        <w:spacing w:after="0"/>
        <w:rPr>
          <w:rFonts w:ascii="Times New Roman" w:hAnsi="Times New Roman"/>
          <w:sz w:val="24"/>
          <w:szCs w:val="24"/>
        </w:rPr>
      </w:pPr>
    </w:p>
    <w:p w14:paraId="125F1245" w14:textId="644C906B" w:rsidR="00BC3377" w:rsidRDefault="00BC3377" w:rsidP="00837B53">
      <w:pPr>
        <w:spacing w:after="0"/>
        <w:rPr>
          <w:rFonts w:ascii="Times New Roman" w:hAnsi="Times New Roman"/>
          <w:sz w:val="24"/>
          <w:szCs w:val="24"/>
        </w:rPr>
      </w:pPr>
    </w:p>
    <w:p w14:paraId="684D5147" w14:textId="79340D05" w:rsidR="00BC3377" w:rsidRDefault="00BC3377" w:rsidP="00837B53">
      <w:pPr>
        <w:spacing w:after="0"/>
        <w:rPr>
          <w:rFonts w:ascii="Times New Roman" w:hAnsi="Times New Roman"/>
          <w:sz w:val="24"/>
          <w:szCs w:val="24"/>
        </w:rPr>
      </w:pPr>
    </w:p>
    <w:p w14:paraId="5CE47F29" w14:textId="77777777" w:rsidR="00BC3377" w:rsidRDefault="00BC3377" w:rsidP="00837B53">
      <w:pPr>
        <w:spacing w:after="0"/>
        <w:rPr>
          <w:rFonts w:ascii="Times New Roman" w:hAnsi="Times New Roman"/>
          <w:sz w:val="24"/>
          <w:szCs w:val="24"/>
        </w:rPr>
      </w:pPr>
    </w:p>
    <w:p w14:paraId="3CC3272A" w14:textId="77777777" w:rsidR="00837B53" w:rsidRDefault="00837B53" w:rsidP="00837B5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RAVNATELJICA</w:t>
      </w:r>
    </w:p>
    <w:p w14:paraId="25C25592" w14:textId="57FC2DAD" w:rsidR="00837B53" w:rsidRPr="00DF3475" w:rsidRDefault="00837B53" w:rsidP="00837B5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1749BF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1749BF">
        <w:rPr>
          <w:rFonts w:ascii="Times New Roman" w:hAnsi="Times New Roman"/>
          <w:sz w:val="24"/>
          <w:szCs w:val="24"/>
        </w:rPr>
        <w:t xml:space="preserve">Dijana Kadliček, </w:t>
      </w:r>
      <w:proofErr w:type="spellStart"/>
      <w:r w:rsidR="001749BF">
        <w:rPr>
          <w:rFonts w:ascii="Times New Roman" w:hAnsi="Times New Roman"/>
          <w:sz w:val="24"/>
          <w:szCs w:val="24"/>
        </w:rPr>
        <w:t>mag.praesc.educ</w:t>
      </w:r>
      <w:proofErr w:type="spellEnd"/>
      <w:r w:rsidR="001749BF">
        <w:rPr>
          <w:rFonts w:ascii="Times New Roman" w:hAnsi="Times New Roman"/>
          <w:sz w:val="24"/>
          <w:szCs w:val="24"/>
        </w:rPr>
        <w:t>.</w:t>
      </w:r>
    </w:p>
    <w:p w14:paraId="050452D3" w14:textId="77777777" w:rsidR="00D62CB4" w:rsidRDefault="00D62CB4"/>
    <w:sectPr w:rsidR="00D62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B53"/>
    <w:rsid w:val="001749BF"/>
    <w:rsid w:val="0018112D"/>
    <w:rsid w:val="00837B53"/>
    <w:rsid w:val="00BC3377"/>
    <w:rsid w:val="00D6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0E235"/>
  <w15:chartTrackingRefBased/>
  <w15:docId w15:val="{0BF0CE4C-2B9E-4FF9-ACBC-2C7F0FBA7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B53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Vesna Borojević</cp:lastModifiedBy>
  <cp:revision>2</cp:revision>
  <cp:lastPrinted>2021-01-22T11:44:00Z</cp:lastPrinted>
  <dcterms:created xsi:type="dcterms:W3CDTF">2021-01-22T09:52:00Z</dcterms:created>
  <dcterms:modified xsi:type="dcterms:W3CDTF">2021-01-22T10:09:00Z</dcterms:modified>
</cp:coreProperties>
</file>